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DC" w:rsidRPr="005C69DC" w:rsidRDefault="005C69DC" w:rsidP="005C69D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69DC">
        <w:rPr>
          <w:rFonts w:asciiTheme="majorBidi" w:hAnsiTheme="majorBidi" w:cstheme="majorBidi"/>
          <w:b/>
          <w:bCs/>
          <w:sz w:val="28"/>
          <w:szCs w:val="28"/>
        </w:rPr>
        <w:t>Section 6 Exercice :   prévision ressources humaines</w:t>
      </w:r>
    </w:p>
    <w:p w:rsidR="005C69DC" w:rsidRDefault="005C69DC" w:rsidP="005C69DC">
      <w:pPr>
        <w:rPr>
          <w:rFonts w:asciiTheme="majorBidi" w:hAnsiTheme="majorBidi" w:cstheme="majorBidi"/>
        </w:rPr>
      </w:pPr>
    </w:p>
    <w:p w:rsidR="005C69DC" w:rsidRPr="00F86F2D" w:rsidRDefault="005C69DC" w:rsidP="005C69D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F86F2D">
        <w:rPr>
          <w:rFonts w:asciiTheme="majorBidi" w:hAnsiTheme="majorBidi" w:cstheme="majorBidi"/>
          <w:sz w:val="24"/>
          <w:szCs w:val="24"/>
        </w:rPr>
        <w:t xml:space="preserve">ALLUMIX est une société spécialisée dans la fabrication des fenêtres en aluminium dont les principaux clients sont des entreprises du secteur du bâtiment.  </w:t>
      </w:r>
    </w:p>
    <w:p w:rsidR="005C69DC" w:rsidRPr="00F86F2D" w:rsidRDefault="005C69DC" w:rsidP="005C69D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86F2D">
        <w:rPr>
          <w:rFonts w:asciiTheme="majorBidi" w:hAnsiTheme="majorBidi" w:cstheme="majorBidi"/>
          <w:sz w:val="24"/>
          <w:szCs w:val="24"/>
        </w:rPr>
        <w:t xml:space="preserve">Les données comptables montrent une croissance rapide des résultats de l’entreprise ces trois dernières années. </w:t>
      </w:r>
      <w:r>
        <w:rPr>
          <w:rFonts w:asciiTheme="majorBidi" w:hAnsiTheme="majorBidi" w:cstheme="majorBidi"/>
          <w:sz w:val="24"/>
          <w:szCs w:val="24"/>
        </w:rPr>
        <w:t>Par</w:t>
      </w:r>
      <w:r w:rsidRPr="00F86F2D">
        <w:rPr>
          <w:rFonts w:asciiTheme="majorBidi" w:hAnsiTheme="majorBidi" w:cstheme="majorBidi"/>
          <w:sz w:val="24"/>
          <w:szCs w:val="24"/>
        </w:rPr>
        <w:t xml:space="preserve"> ailleurs, la direction de l’entreprise a réalisé une étude sur l’évolution de son  marché pour les trois prochaines années. Cette étude a montré  la possibilité d’une croissance importante du nombre de logement social attribué par l’état  dans la wilaya d’Oran. Cependant cette croissance risque d’attirer de nouveaux concurrents, estimés par l’étude à 04 nouvelles entreprises. C’est pourquoi la direction de l’entreprise a élaboré une stratégie basée les prix. Cette stratégie nécessite l’amélioration de la production et de la distribution du produit final. </w:t>
      </w:r>
    </w:p>
    <w:p w:rsidR="005C69DC" w:rsidRDefault="005C69DC" w:rsidP="005C69D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F86F2D">
        <w:rPr>
          <w:rFonts w:asciiTheme="majorBidi" w:hAnsiTheme="majorBidi" w:cstheme="majorBidi"/>
          <w:sz w:val="24"/>
          <w:szCs w:val="24"/>
        </w:rPr>
        <w:t>Ces nouveaux objectifs nécessitent par ailleurs le renforcement des capacités de gestion de l’entreprise  et par conséquence des changements dans la composition des ressources humaines cadres.</w:t>
      </w:r>
    </w:p>
    <w:p w:rsidR="005C69DC" w:rsidRPr="00FD7A3E" w:rsidRDefault="005C69DC" w:rsidP="005C69D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D7A3E">
        <w:rPr>
          <w:rFonts w:asciiTheme="majorBidi" w:hAnsiTheme="majorBidi" w:cstheme="majorBidi"/>
          <w:b/>
          <w:bCs/>
          <w:sz w:val="24"/>
          <w:szCs w:val="24"/>
        </w:rPr>
        <w:t xml:space="preserve"> Tableau 1 effectif cadre  au 31/12/2020</w:t>
      </w:r>
    </w:p>
    <w:tbl>
      <w:tblPr>
        <w:tblStyle w:val="Grilledutableau"/>
        <w:tblW w:w="0" w:type="auto"/>
        <w:tblLook w:val="04A0"/>
      </w:tblPr>
      <w:tblGrid>
        <w:gridCol w:w="1316"/>
        <w:gridCol w:w="1402"/>
        <w:gridCol w:w="2190"/>
        <w:gridCol w:w="1737"/>
        <w:gridCol w:w="854"/>
        <w:gridCol w:w="1627"/>
        <w:gridCol w:w="1274"/>
        <w:gridCol w:w="872"/>
      </w:tblGrid>
      <w:tr w:rsidR="005C69DC" w:rsidTr="0040012E">
        <w:tc>
          <w:tcPr>
            <w:tcW w:w="1316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 Fonctions</w:t>
            </w:r>
          </w:p>
        </w:tc>
        <w:tc>
          <w:tcPr>
            <w:tcW w:w="1402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Production </w:t>
            </w:r>
          </w:p>
        </w:tc>
        <w:tc>
          <w:tcPr>
            <w:tcW w:w="2190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approvisionnement</w:t>
            </w:r>
          </w:p>
        </w:tc>
        <w:tc>
          <w:tcPr>
            <w:tcW w:w="1737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administration et finance</w:t>
            </w:r>
          </w:p>
        </w:tc>
        <w:tc>
          <w:tcPr>
            <w:tcW w:w="854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DRH</w:t>
            </w:r>
          </w:p>
        </w:tc>
        <w:tc>
          <w:tcPr>
            <w:tcW w:w="1627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Distribution et marketing</w:t>
            </w:r>
          </w:p>
        </w:tc>
        <w:tc>
          <w:tcPr>
            <w:tcW w:w="1274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juridique</w:t>
            </w:r>
          </w:p>
        </w:tc>
        <w:tc>
          <w:tcPr>
            <w:tcW w:w="872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5C69DC" w:rsidTr="0040012E">
        <w:tc>
          <w:tcPr>
            <w:tcW w:w="1316" w:type="dxa"/>
          </w:tcPr>
          <w:p w:rsidR="005C69DC" w:rsidRPr="004700B9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Effectifs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cadres</w:t>
            </w:r>
            <w:r w:rsidRPr="004700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5C69DC" w:rsidRDefault="005C69DC" w:rsidP="00400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90" w:type="dxa"/>
          </w:tcPr>
          <w:p w:rsidR="005C69DC" w:rsidRDefault="005C69DC" w:rsidP="00400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37" w:type="dxa"/>
          </w:tcPr>
          <w:p w:rsidR="005C69DC" w:rsidRDefault="005C69DC" w:rsidP="00400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4" w:type="dxa"/>
          </w:tcPr>
          <w:p w:rsidR="005C69DC" w:rsidRDefault="005C69DC" w:rsidP="00400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7" w:type="dxa"/>
          </w:tcPr>
          <w:p w:rsidR="005C69DC" w:rsidRDefault="005C69DC" w:rsidP="00400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4" w:type="dxa"/>
          </w:tcPr>
          <w:p w:rsidR="005C69DC" w:rsidRDefault="005C69DC" w:rsidP="004001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2" w:type="dxa"/>
          </w:tcPr>
          <w:p w:rsidR="005C69DC" w:rsidRDefault="005C69DC" w:rsidP="004001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</w:t>
            </w:r>
          </w:p>
        </w:tc>
      </w:tr>
    </w:tbl>
    <w:p w:rsidR="005C69DC" w:rsidRDefault="005C69DC" w:rsidP="005C69D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C69DC" w:rsidRPr="00F86F2D" w:rsidRDefault="005C69DC" w:rsidP="005C69D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tableau suivant donne les estimations des départs     2021-2023 (données internes) </w:t>
      </w:r>
    </w:p>
    <w:tbl>
      <w:tblPr>
        <w:tblStyle w:val="Grilledutableau"/>
        <w:tblW w:w="0" w:type="auto"/>
        <w:tblLook w:val="04A0"/>
      </w:tblPr>
      <w:tblGrid>
        <w:gridCol w:w="1316"/>
        <w:gridCol w:w="1402"/>
        <w:gridCol w:w="2190"/>
        <w:gridCol w:w="1737"/>
        <w:gridCol w:w="854"/>
        <w:gridCol w:w="1627"/>
        <w:gridCol w:w="1274"/>
        <w:gridCol w:w="872"/>
      </w:tblGrid>
      <w:tr w:rsidR="005C69DC" w:rsidRPr="00FD7A3E" w:rsidTr="0040012E">
        <w:tc>
          <w:tcPr>
            <w:tcW w:w="1316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Les Fonctions</w:t>
            </w:r>
          </w:p>
        </w:tc>
        <w:tc>
          <w:tcPr>
            <w:tcW w:w="1402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 xml:space="preserve">Production </w:t>
            </w:r>
          </w:p>
        </w:tc>
        <w:tc>
          <w:tcPr>
            <w:tcW w:w="2190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approvisionnement</w:t>
            </w:r>
          </w:p>
        </w:tc>
        <w:tc>
          <w:tcPr>
            <w:tcW w:w="1737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administration et finance</w:t>
            </w:r>
          </w:p>
        </w:tc>
        <w:tc>
          <w:tcPr>
            <w:tcW w:w="854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DRH</w:t>
            </w:r>
          </w:p>
        </w:tc>
        <w:tc>
          <w:tcPr>
            <w:tcW w:w="1627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Distribution et marketing</w:t>
            </w:r>
          </w:p>
        </w:tc>
        <w:tc>
          <w:tcPr>
            <w:tcW w:w="1274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juridique</w:t>
            </w:r>
          </w:p>
        </w:tc>
        <w:tc>
          <w:tcPr>
            <w:tcW w:w="872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 xml:space="preserve">Total </w:t>
            </w:r>
          </w:p>
        </w:tc>
      </w:tr>
      <w:tr w:rsidR="005C69DC" w:rsidRPr="00FD7A3E" w:rsidTr="0040012E">
        <w:tc>
          <w:tcPr>
            <w:tcW w:w="1316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 xml:space="preserve">retraite </w:t>
            </w:r>
          </w:p>
        </w:tc>
        <w:tc>
          <w:tcPr>
            <w:tcW w:w="1402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2190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737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854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627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274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872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D7A3E">
              <w:rPr>
                <w:rFonts w:asciiTheme="majorBidi" w:hAnsiTheme="majorBidi" w:cstheme="majorBidi"/>
                <w:b/>
                <w:bCs/>
                <w:color w:val="000000"/>
              </w:rPr>
              <w:t>9</w:t>
            </w:r>
          </w:p>
        </w:tc>
      </w:tr>
      <w:tr w:rsidR="005C69DC" w:rsidRPr="00FD7A3E" w:rsidTr="0040012E">
        <w:tc>
          <w:tcPr>
            <w:tcW w:w="1316" w:type="dxa"/>
          </w:tcPr>
          <w:p w:rsidR="005C69DC" w:rsidRPr="00FD7A3E" w:rsidRDefault="005C69DC" w:rsidP="0040012E">
            <w:pPr>
              <w:spacing w:line="360" w:lineRule="auto"/>
              <w:rPr>
                <w:rFonts w:asciiTheme="majorBidi" w:hAnsiTheme="majorBidi" w:cstheme="majorBidi"/>
                <w:b/>
                <w:bCs/>
              </w:rPr>
            </w:pPr>
            <w:r w:rsidRPr="00FD7A3E">
              <w:rPr>
                <w:rFonts w:asciiTheme="majorBidi" w:hAnsiTheme="majorBidi" w:cstheme="majorBidi"/>
                <w:b/>
                <w:bCs/>
              </w:rPr>
              <w:t>Fin de contrat</w:t>
            </w:r>
          </w:p>
        </w:tc>
        <w:tc>
          <w:tcPr>
            <w:tcW w:w="1402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3</w:t>
            </w:r>
          </w:p>
        </w:tc>
        <w:tc>
          <w:tcPr>
            <w:tcW w:w="2190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2</w:t>
            </w:r>
          </w:p>
        </w:tc>
        <w:tc>
          <w:tcPr>
            <w:tcW w:w="1737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854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1</w:t>
            </w:r>
          </w:p>
        </w:tc>
        <w:tc>
          <w:tcPr>
            <w:tcW w:w="1627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4</w:t>
            </w:r>
          </w:p>
        </w:tc>
        <w:tc>
          <w:tcPr>
            <w:tcW w:w="1274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FD7A3E">
              <w:rPr>
                <w:rFonts w:asciiTheme="majorBidi" w:hAnsiTheme="majorBidi" w:cstheme="majorBidi"/>
                <w:color w:val="000000"/>
              </w:rPr>
              <w:t>0</w:t>
            </w:r>
          </w:p>
        </w:tc>
        <w:tc>
          <w:tcPr>
            <w:tcW w:w="872" w:type="dxa"/>
          </w:tcPr>
          <w:p w:rsidR="005C69DC" w:rsidRPr="00FD7A3E" w:rsidRDefault="005C69DC" w:rsidP="0040012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D7A3E">
              <w:rPr>
                <w:rFonts w:asciiTheme="majorBidi" w:hAnsiTheme="majorBidi" w:cstheme="majorBidi"/>
                <w:b/>
                <w:bCs/>
                <w:color w:val="000000"/>
              </w:rPr>
              <w:t>11</w:t>
            </w:r>
          </w:p>
        </w:tc>
      </w:tr>
    </w:tbl>
    <w:p w:rsidR="005C69DC" w:rsidRDefault="005C69DC" w:rsidP="005C69D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C69DC" w:rsidRPr="00F86F2D" w:rsidRDefault="005C69DC" w:rsidP="005C69DC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 la base des nouveaux objectifs, le personnel  par fonction  qui doit être  disponibles en 2021-2023 est  le suivant  </w:t>
      </w:r>
      <w:r w:rsidRPr="00F86F2D">
        <w:rPr>
          <w:rFonts w:asciiTheme="majorBidi" w:hAnsiTheme="majorBidi" w:cstheme="majorBidi"/>
          <w:sz w:val="24"/>
          <w:szCs w:val="24"/>
        </w:rPr>
        <w:t xml:space="preserve">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11248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1580"/>
        <w:gridCol w:w="1467"/>
        <w:gridCol w:w="2114"/>
        <w:gridCol w:w="1661"/>
        <w:gridCol w:w="953"/>
        <w:gridCol w:w="1394"/>
        <w:gridCol w:w="1121"/>
        <w:gridCol w:w="958"/>
      </w:tblGrid>
      <w:tr w:rsidR="005C69DC" w:rsidRPr="008F761E" w:rsidTr="0040012E">
        <w:trPr>
          <w:trHeight w:val="94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Les Fonctions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Production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approvisionnement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administration et finance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DRH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Distribution et marketing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juridique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Total </w:t>
            </w:r>
          </w:p>
        </w:tc>
      </w:tr>
      <w:tr w:rsidR="005C69DC" w:rsidRPr="008F761E" w:rsidTr="004001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effectif 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2023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205</w:t>
            </w:r>
          </w:p>
        </w:tc>
      </w:tr>
      <w:tr w:rsidR="005C69DC" w:rsidRPr="008F761E" w:rsidTr="0040012E">
        <w:trPr>
          <w:trHeight w:val="31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F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Besoins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28%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76%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85%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100%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65%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100%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9DC" w:rsidRPr="008F761E" w:rsidRDefault="005C69DC" w:rsidP="0040012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</w:t>
            </w:r>
          </w:p>
        </w:tc>
      </w:tr>
      <w:tr w:rsidR="005C69DC" w:rsidRPr="008F761E" w:rsidTr="0040012E">
        <w:trPr>
          <w:trHeight w:val="3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Besoins cadre 2023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16,72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9DC" w:rsidRPr="008F761E" w:rsidRDefault="005C69DC" w:rsidP="0040012E">
            <w:pPr>
              <w:jc w:val="lef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F761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5C69DC" w:rsidRDefault="005C69DC" w:rsidP="005C69DC">
      <w:pPr>
        <w:rPr>
          <w:rFonts w:asciiTheme="majorBidi" w:hAnsiTheme="majorBidi" w:cstheme="majorBidi"/>
        </w:rPr>
      </w:pPr>
    </w:p>
    <w:p w:rsidR="005C69DC" w:rsidRPr="00ED108E" w:rsidRDefault="005C69DC" w:rsidP="005C69DC">
      <w:pPr>
        <w:rPr>
          <w:rFonts w:asciiTheme="majorBidi" w:hAnsiTheme="majorBidi" w:cstheme="majorBidi"/>
          <w:b/>
          <w:bCs/>
        </w:rPr>
      </w:pPr>
      <w:r w:rsidRPr="00ED108E">
        <w:rPr>
          <w:rFonts w:asciiTheme="majorBidi" w:hAnsiTheme="majorBidi" w:cstheme="majorBidi"/>
          <w:b/>
          <w:bCs/>
        </w:rPr>
        <w:t xml:space="preserve">Question </w:t>
      </w:r>
    </w:p>
    <w:p w:rsidR="005C69DC" w:rsidRDefault="005C69DC" w:rsidP="005C69DC">
      <w:pPr>
        <w:rPr>
          <w:rFonts w:asciiTheme="majorBidi" w:hAnsiTheme="majorBidi" w:cstheme="majorBidi"/>
        </w:rPr>
      </w:pPr>
    </w:p>
    <w:p w:rsidR="005C69DC" w:rsidRPr="00DF3641" w:rsidRDefault="005C69DC" w:rsidP="005C69DC">
      <w:pPr>
        <w:rPr>
          <w:rFonts w:asciiTheme="majorBidi" w:hAnsiTheme="majorBidi" w:cstheme="majorBidi"/>
          <w:sz w:val="24"/>
          <w:szCs w:val="24"/>
        </w:rPr>
      </w:pPr>
      <w:r w:rsidRPr="00DF3641">
        <w:rPr>
          <w:rFonts w:asciiTheme="majorBidi" w:hAnsiTheme="majorBidi" w:cstheme="majorBidi"/>
          <w:sz w:val="24"/>
          <w:szCs w:val="24"/>
        </w:rPr>
        <w:t xml:space="preserve">1. calculez l’effectif cadre par fonction de  2021-2023 selon  les données internes </w:t>
      </w:r>
    </w:p>
    <w:p w:rsidR="005C69DC" w:rsidRPr="00DF3641" w:rsidRDefault="005C69DC" w:rsidP="005C69DC">
      <w:pPr>
        <w:rPr>
          <w:rFonts w:asciiTheme="majorBidi" w:hAnsiTheme="majorBidi" w:cstheme="majorBidi"/>
          <w:sz w:val="24"/>
          <w:szCs w:val="24"/>
        </w:rPr>
      </w:pPr>
      <w:r w:rsidRPr="00DF3641">
        <w:rPr>
          <w:rFonts w:asciiTheme="majorBidi" w:hAnsiTheme="majorBidi" w:cstheme="majorBidi"/>
          <w:sz w:val="24"/>
          <w:szCs w:val="24"/>
        </w:rPr>
        <w:t xml:space="preserve">2. calculez l’effectif cadre qui doit être disponible en 2023 </w:t>
      </w:r>
    </w:p>
    <w:p w:rsidR="005C69DC" w:rsidRPr="00DF3641" w:rsidRDefault="005C69DC" w:rsidP="005C69DC">
      <w:pPr>
        <w:rPr>
          <w:rFonts w:asciiTheme="majorBidi" w:hAnsiTheme="majorBidi" w:cstheme="majorBidi"/>
          <w:sz w:val="24"/>
          <w:szCs w:val="24"/>
        </w:rPr>
      </w:pPr>
      <w:r w:rsidRPr="00DF3641">
        <w:rPr>
          <w:rFonts w:asciiTheme="majorBidi" w:hAnsiTheme="majorBidi" w:cstheme="majorBidi"/>
          <w:sz w:val="24"/>
          <w:szCs w:val="24"/>
        </w:rPr>
        <w:t xml:space="preserve">3. calculer les recrutements et les licenciements à faire pour atteindre ces objectifs </w:t>
      </w:r>
    </w:p>
    <w:p w:rsidR="005C69DC" w:rsidRPr="00DF3641" w:rsidRDefault="005C69DC" w:rsidP="005C69DC">
      <w:pPr>
        <w:rPr>
          <w:rFonts w:asciiTheme="majorBidi" w:hAnsiTheme="majorBidi" w:cstheme="majorBidi"/>
          <w:sz w:val="24"/>
          <w:szCs w:val="24"/>
        </w:rPr>
      </w:pPr>
      <w:r w:rsidRPr="00DF3641">
        <w:rPr>
          <w:rFonts w:asciiTheme="majorBidi" w:hAnsiTheme="majorBidi" w:cstheme="majorBidi"/>
          <w:sz w:val="24"/>
          <w:szCs w:val="24"/>
        </w:rPr>
        <w:t>4. calculez le taux d’encadrement attendu en 2023</w:t>
      </w:r>
    </w:p>
    <w:p w:rsidR="005C69DC" w:rsidRDefault="005C69DC" w:rsidP="005C69DC">
      <w:pPr>
        <w:rPr>
          <w:rFonts w:asciiTheme="majorBidi" w:hAnsiTheme="majorBidi" w:cstheme="majorBidi"/>
        </w:rPr>
      </w:pPr>
    </w:p>
    <w:p w:rsidR="005C69DC" w:rsidRDefault="005C69DC" w:rsidP="005C69DC">
      <w:pPr>
        <w:rPr>
          <w:rFonts w:asciiTheme="majorBidi" w:hAnsiTheme="majorBidi" w:cstheme="majorBidi"/>
        </w:rPr>
      </w:pPr>
    </w:p>
    <w:p w:rsidR="005C69DC" w:rsidRDefault="005C69DC" w:rsidP="005C69DC">
      <w:pPr>
        <w:rPr>
          <w:rFonts w:asciiTheme="majorBidi" w:hAnsiTheme="majorBidi" w:cstheme="majorBidi"/>
        </w:rPr>
      </w:pPr>
    </w:p>
    <w:p w:rsidR="005C69DC" w:rsidRDefault="005C69DC" w:rsidP="005C69DC">
      <w:pPr>
        <w:rPr>
          <w:rFonts w:asciiTheme="majorBidi" w:hAnsiTheme="majorBidi" w:cstheme="majorBidi"/>
        </w:rPr>
      </w:pPr>
    </w:p>
    <w:p w:rsidR="00FE1BA3" w:rsidRDefault="00FE1BA3"/>
    <w:sectPr w:rsidR="00FE1BA3" w:rsidSect="003573E1">
      <w:footerReference w:type="default" r:id="rId4"/>
      <w:pgSz w:w="11906" w:h="16838"/>
      <w:pgMar w:top="567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974"/>
      <w:docPartObj>
        <w:docPartGallery w:val="Page Numbers (Bottom of Page)"/>
        <w:docPartUnique/>
      </w:docPartObj>
    </w:sdtPr>
    <w:sdtEndPr/>
    <w:sdtContent>
      <w:p w:rsidR="00FD4835" w:rsidRDefault="005C69D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4835" w:rsidRDefault="005C69DC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compat/>
  <w:rsids>
    <w:rsidRoot w:val="005C69DC"/>
    <w:rsid w:val="000B40A8"/>
    <w:rsid w:val="005C69DC"/>
    <w:rsid w:val="006935A3"/>
    <w:rsid w:val="007E079F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69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5C69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69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2023-12-30T21:50:00Z</dcterms:created>
  <dcterms:modified xsi:type="dcterms:W3CDTF">2023-12-30T21:50:00Z</dcterms:modified>
</cp:coreProperties>
</file>