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AC" w:rsidRPr="00C07BAC" w:rsidRDefault="00C07BAC" w:rsidP="00C07BAC">
      <w:pPr>
        <w:jc w:val="center"/>
        <w:rPr>
          <w:rFonts w:asciiTheme="majorBidi" w:hAnsiTheme="majorBidi" w:cstheme="majorBidi"/>
          <w:b/>
          <w:bCs/>
          <w:sz w:val="24"/>
          <w:szCs w:val="24"/>
        </w:rPr>
      </w:pPr>
      <w:r w:rsidRPr="00660DF3">
        <w:rPr>
          <w:rFonts w:asciiTheme="majorBidi" w:hAnsiTheme="majorBidi" w:cstheme="majorBidi"/>
          <w:b/>
          <w:bCs/>
          <w:sz w:val="24"/>
          <w:szCs w:val="24"/>
        </w:rPr>
        <w:t xml:space="preserve">SECTION </w:t>
      </w:r>
      <w:r>
        <w:rPr>
          <w:rFonts w:asciiTheme="majorBidi" w:hAnsiTheme="majorBidi" w:cstheme="majorBidi"/>
          <w:b/>
          <w:bCs/>
          <w:sz w:val="24"/>
          <w:szCs w:val="24"/>
        </w:rPr>
        <w:t>3</w:t>
      </w:r>
      <w:r w:rsidRPr="00660DF3">
        <w:rPr>
          <w:rFonts w:asciiTheme="majorBidi" w:hAnsiTheme="majorBidi" w:cstheme="majorBidi"/>
          <w:b/>
          <w:bCs/>
          <w:sz w:val="24"/>
          <w:szCs w:val="24"/>
        </w:rPr>
        <w:t xml:space="preserve">      </w:t>
      </w:r>
      <w:r w:rsidRPr="00C07BAC">
        <w:rPr>
          <w:rFonts w:asciiTheme="majorBidi" w:hAnsiTheme="majorBidi" w:cstheme="majorBidi"/>
          <w:b/>
          <w:bCs/>
          <w:sz w:val="24"/>
          <w:szCs w:val="24"/>
        </w:rPr>
        <w:t>LE SYSTEME DE FINALISATION,  cas  de la stratégie d’entreprise</w:t>
      </w:r>
    </w:p>
    <w:p w:rsidR="00C07BAC" w:rsidRDefault="00C07BAC" w:rsidP="00C07BAC">
      <w:pPr>
        <w:spacing w:line="360" w:lineRule="auto"/>
        <w:jc w:val="both"/>
        <w:rPr>
          <w:rFonts w:asciiTheme="majorBidi" w:hAnsiTheme="majorBidi" w:cstheme="majorBidi"/>
        </w:rPr>
      </w:pPr>
      <w:r w:rsidRPr="008C1DC8">
        <w:rPr>
          <w:rFonts w:asciiTheme="majorBidi" w:hAnsiTheme="majorBidi" w:cstheme="majorBidi"/>
        </w:rPr>
        <w:t xml:space="preserve"> </w:t>
      </w:r>
      <w:r>
        <w:rPr>
          <w:rFonts w:asciiTheme="majorBidi" w:hAnsiTheme="majorBidi" w:cstheme="majorBidi"/>
        </w:rPr>
        <w:tab/>
      </w:r>
      <w:r w:rsidRPr="008C1DC8">
        <w:rPr>
          <w:rFonts w:asciiTheme="majorBidi" w:hAnsiTheme="majorBidi" w:cstheme="majorBidi"/>
        </w:rPr>
        <w:t xml:space="preserve">Nous avions vue dans l’introduction que l’entreprise constitue un système finalisé. </w:t>
      </w:r>
      <w:r>
        <w:rPr>
          <w:rFonts w:asciiTheme="majorBidi" w:hAnsiTheme="majorBidi" w:cstheme="majorBidi"/>
        </w:rPr>
        <w:t xml:space="preserve">La </w:t>
      </w:r>
      <w:r w:rsidRPr="008C1DC8">
        <w:rPr>
          <w:rFonts w:asciiTheme="majorBidi" w:hAnsiTheme="majorBidi" w:cstheme="majorBidi"/>
        </w:rPr>
        <w:t xml:space="preserve"> finalisation s’opère par </w:t>
      </w:r>
      <w:r>
        <w:rPr>
          <w:rFonts w:asciiTheme="majorBidi" w:hAnsiTheme="majorBidi" w:cstheme="majorBidi"/>
        </w:rPr>
        <w:t xml:space="preserve">la mise en place des </w:t>
      </w:r>
      <w:r w:rsidRPr="008C1DC8">
        <w:rPr>
          <w:rFonts w:asciiTheme="majorBidi" w:hAnsiTheme="majorBidi" w:cstheme="majorBidi"/>
        </w:rPr>
        <w:t>processus d’orientation des activités   qui déterminent leurs natures, leur localisation, leur niveau</w:t>
      </w:r>
      <w:r>
        <w:rPr>
          <w:rFonts w:asciiTheme="majorBidi" w:hAnsiTheme="majorBidi" w:cstheme="majorBidi"/>
        </w:rPr>
        <w:t xml:space="preserve">, </w:t>
      </w:r>
      <w:r w:rsidRPr="008C1DC8">
        <w:rPr>
          <w:rFonts w:asciiTheme="majorBidi" w:hAnsiTheme="majorBidi" w:cstheme="majorBidi"/>
        </w:rPr>
        <w:t xml:space="preserve"> leur distribution</w:t>
      </w:r>
      <w:r>
        <w:rPr>
          <w:rFonts w:asciiTheme="majorBidi" w:hAnsiTheme="majorBidi" w:cstheme="majorBidi"/>
        </w:rPr>
        <w:t xml:space="preserve"> dans le temps.</w:t>
      </w:r>
    </w:p>
    <w:p w:rsidR="00C07BAC" w:rsidRPr="005936E1" w:rsidRDefault="00C07BAC" w:rsidP="00C07BAC">
      <w:pPr>
        <w:pStyle w:val="Paragraphedeliste"/>
        <w:numPr>
          <w:ilvl w:val="0"/>
          <w:numId w:val="1"/>
        </w:numPr>
        <w:spacing w:line="360" w:lineRule="auto"/>
        <w:jc w:val="both"/>
        <w:rPr>
          <w:rFonts w:asciiTheme="majorBidi" w:hAnsiTheme="majorBidi" w:cstheme="majorBidi"/>
          <w:b/>
          <w:bCs/>
        </w:rPr>
      </w:pPr>
      <w:r w:rsidRPr="005936E1">
        <w:rPr>
          <w:rFonts w:asciiTheme="majorBidi" w:hAnsiTheme="majorBidi" w:cstheme="majorBidi"/>
          <w:b/>
          <w:bCs/>
        </w:rPr>
        <w:t xml:space="preserve">Définition du système de finalisation  </w:t>
      </w:r>
    </w:p>
    <w:p w:rsidR="00C07BAC" w:rsidRPr="005936E1" w:rsidRDefault="00C07BAC" w:rsidP="00C07BAC">
      <w:pPr>
        <w:pStyle w:val="Paragraphedeliste"/>
        <w:spacing w:line="360" w:lineRule="auto"/>
        <w:jc w:val="both"/>
        <w:rPr>
          <w:rFonts w:asciiTheme="majorBidi" w:hAnsiTheme="majorBidi" w:cstheme="majorBidi"/>
        </w:rPr>
      </w:pPr>
      <w:r w:rsidRPr="005936E1">
        <w:rPr>
          <w:rFonts w:asciiTheme="majorBidi" w:hAnsiTheme="majorBidi" w:cstheme="majorBidi"/>
        </w:rPr>
        <w:t>Le système de planification constitue  le processus rationnel de finalisation,  parce que son élaboration suit une démarche rationnel  de décision ( identification du problème -  collecte d’information-proposition des choix possibles -négociation des choix -exécution d’une décision final, suivi et apprentissage après la mise en œuvre)   la rationalité est ici entendu dans le sens ou ont planifie par que qu’on cherche une forme de cohérence entre les fins désirés et les moyens qui seront employé</w:t>
      </w:r>
      <w:r>
        <w:rPr>
          <w:rFonts w:asciiTheme="majorBidi" w:hAnsiTheme="majorBidi" w:cstheme="majorBidi"/>
        </w:rPr>
        <w:t>s</w:t>
      </w:r>
      <w:r w:rsidRPr="005936E1">
        <w:rPr>
          <w:rFonts w:asciiTheme="majorBidi" w:hAnsiTheme="majorBidi" w:cstheme="majorBidi"/>
        </w:rPr>
        <w:t xml:space="preserve"> .</w:t>
      </w:r>
    </w:p>
    <w:p w:rsidR="00C07BAC" w:rsidRPr="001D78AE" w:rsidRDefault="00C07BAC" w:rsidP="00C07BAC">
      <w:pPr>
        <w:pStyle w:val="Paragraphedeliste"/>
        <w:numPr>
          <w:ilvl w:val="0"/>
          <w:numId w:val="1"/>
        </w:numPr>
        <w:spacing w:after="0" w:line="360" w:lineRule="auto"/>
        <w:jc w:val="both"/>
        <w:textAlignment w:val="baseline"/>
        <w:rPr>
          <w:rFonts w:asciiTheme="majorBidi" w:hAnsiTheme="majorBidi" w:cstheme="majorBidi"/>
          <w:b/>
          <w:bCs/>
          <w:color w:val="000000" w:themeColor="text1"/>
        </w:rPr>
      </w:pPr>
      <w:r w:rsidRPr="001D78AE">
        <w:rPr>
          <w:rFonts w:asciiTheme="majorBidi" w:hAnsiTheme="majorBidi" w:cstheme="majorBidi"/>
          <w:b/>
          <w:bCs/>
          <w:color w:val="000000" w:themeColor="text1"/>
        </w:rPr>
        <w:t>Types de décisions</w:t>
      </w:r>
      <w:r>
        <w:rPr>
          <w:rFonts w:asciiTheme="majorBidi" w:hAnsiTheme="majorBidi" w:cstheme="majorBidi"/>
          <w:b/>
          <w:bCs/>
          <w:color w:val="000000" w:themeColor="text1"/>
        </w:rPr>
        <w:t xml:space="preserve"> de finalisation </w:t>
      </w:r>
      <w:r w:rsidRPr="001D78AE">
        <w:rPr>
          <w:rFonts w:asciiTheme="majorBidi" w:hAnsiTheme="majorBidi" w:cstheme="majorBidi"/>
          <w:b/>
          <w:bCs/>
          <w:color w:val="000000" w:themeColor="text1"/>
        </w:rPr>
        <w:t xml:space="preserve"> et leurs caractéristiques   </w:t>
      </w:r>
    </w:p>
    <w:p w:rsidR="00C07BAC" w:rsidRPr="001D78AE" w:rsidRDefault="00C07BAC" w:rsidP="00C07BAC">
      <w:pPr>
        <w:spacing w:after="0" w:line="360" w:lineRule="auto"/>
        <w:jc w:val="both"/>
        <w:textAlignment w:val="baseline"/>
        <w:rPr>
          <w:rFonts w:asciiTheme="majorBidi" w:eastAsia="Times New Roman" w:hAnsiTheme="majorBidi" w:cstheme="majorBidi"/>
          <w:color w:val="000000" w:themeColor="text1"/>
          <w:lang w:eastAsia="fr-FR"/>
        </w:rPr>
      </w:pPr>
      <w:r>
        <w:rPr>
          <w:rFonts w:asciiTheme="majorBidi" w:hAnsiTheme="majorBidi" w:cstheme="majorBidi"/>
          <w:sz w:val="20"/>
          <w:szCs w:val="20"/>
        </w:rPr>
        <w:t xml:space="preserve"> </w:t>
      </w:r>
      <w:r w:rsidRPr="00CA6FB3">
        <w:rPr>
          <w:rFonts w:asciiTheme="majorBidi" w:hAnsiTheme="majorBidi" w:cstheme="majorBidi"/>
          <w:sz w:val="20"/>
          <w:szCs w:val="20"/>
        </w:rPr>
        <w:t xml:space="preserve">   ANSOFF IGOR  propose, de distinguer  parmi toutes les décisions </w:t>
      </w:r>
      <w:r>
        <w:rPr>
          <w:rFonts w:asciiTheme="majorBidi" w:hAnsiTheme="majorBidi" w:cstheme="majorBidi"/>
          <w:sz w:val="20"/>
          <w:szCs w:val="20"/>
        </w:rPr>
        <w:t xml:space="preserve">qui sont de nature à définir les objectifs de l’entreprise </w:t>
      </w:r>
      <w:r w:rsidRPr="00CA6FB3">
        <w:rPr>
          <w:rFonts w:asciiTheme="majorBidi" w:hAnsiTheme="majorBidi" w:cstheme="majorBidi"/>
          <w:sz w:val="20"/>
          <w:szCs w:val="20"/>
        </w:rPr>
        <w:t>celles  qui relèvent de la décision stratégique,  administrative</w:t>
      </w:r>
      <w:r>
        <w:rPr>
          <w:rFonts w:asciiTheme="majorBidi" w:hAnsiTheme="majorBidi" w:cstheme="majorBidi"/>
          <w:sz w:val="20"/>
          <w:szCs w:val="20"/>
        </w:rPr>
        <w:t xml:space="preserve"> </w:t>
      </w:r>
      <w:r w:rsidRPr="00CA6FB3">
        <w:rPr>
          <w:rFonts w:asciiTheme="majorBidi" w:hAnsiTheme="majorBidi" w:cstheme="majorBidi"/>
          <w:sz w:val="20"/>
          <w:szCs w:val="20"/>
        </w:rPr>
        <w:t xml:space="preserve"> et opérationnelle</w:t>
      </w:r>
      <w:r>
        <w:rPr>
          <w:rFonts w:asciiTheme="majorBidi" w:eastAsia="Times New Roman" w:hAnsiTheme="majorBidi" w:cstheme="majorBidi"/>
          <w:color w:val="000000" w:themeColor="text1"/>
          <w:lang w:eastAsia="fr-FR"/>
        </w:rPr>
        <w:t xml:space="preserve">  </w:t>
      </w:r>
      <w:r w:rsidRPr="001D78AE">
        <w:rPr>
          <w:rFonts w:asciiTheme="majorBidi" w:eastAsia="Times New Roman" w:hAnsiTheme="majorBidi" w:cstheme="majorBidi"/>
          <w:color w:val="000000" w:themeColor="text1"/>
          <w:lang w:eastAsia="fr-FR"/>
        </w:rPr>
        <w:t>où chacune a des caractéristiques particulières et est prise à des   niveaux différents de la hiérarchie.</w:t>
      </w:r>
    </w:p>
    <w:p w:rsidR="00C07BAC" w:rsidRPr="001D78AE" w:rsidRDefault="00C07BAC" w:rsidP="00C07BAC">
      <w:pPr>
        <w:pStyle w:val="Paragraphedeliste"/>
        <w:numPr>
          <w:ilvl w:val="0"/>
          <w:numId w:val="5"/>
        </w:numPr>
        <w:tabs>
          <w:tab w:val="left" w:pos="284"/>
        </w:tabs>
        <w:spacing w:after="0" w:line="360" w:lineRule="auto"/>
        <w:ind w:left="0" w:firstLine="0"/>
        <w:jc w:val="both"/>
        <w:textAlignment w:val="baseline"/>
        <w:rPr>
          <w:rFonts w:asciiTheme="majorBidi" w:hAnsiTheme="majorBidi" w:cstheme="majorBidi"/>
          <w:color w:val="000000" w:themeColor="text1"/>
        </w:rPr>
      </w:pPr>
      <w:r w:rsidRPr="001D78AE">
        <w:rPr>
          <w:rFonts w:asciiTheme="majorBidi" w:hAnsiTheme="majorBidi" w:cstheme="majorBidi"/>
          <w:b/>
          <w:bCs/>
          <w:color w:val="000000" w:themeColor="text1"/>
        </w:rPr>
        <w:t>Les décisions stratégiques</w:t>
      </w:r>
      <w:r w:rsidRPr="001D78AE">
        <w:rPr>
          <w:rFonts w:asciiTheme="majorBidi" w:hAnsiTheme="majorBidi" w:cstheme="majorBidi"/>
          <w:color w:val="000000" w:themeColor="text1"/>
          <w:bdr w:val="none" w:sz="0" w:space="0" w:color="auto" w:frame="1"/>
        </w:rPr>
        <w:t> sont prises par la direction générale de l'entreprise.  Elles portent </w:t>
      </w:r>
      <w:r>
        <w:rPr>
          <w:rFonts w:asciiTheme="majorBidi" w:hAnsiTheme="majorBidi" w:cstheme="majorBidi"/>
          <w:color w:val="000000" w:themeColor="text1"/>
        </w:rPr>
        <w:t xml:space="preserve">sur </w:t>
      </w:r>
      <w:r w:rsidRPr="001D78AE">
        <w:rPr>
          <w:rFonts w:asciiTheme="majorBidi" w:hAnsiTheme="majorBidi" w:cstheme="majorBidi"/>
          <w:color w:val="000000" w:themeColor="text1"/>
        </w:rPr>
        <w:t>: lancement d’un nouveau produit, abandon d’une activité, fusion avec une autre entreprise.</w:t>
      </w:r>
    </w:p>
    <w:p w:rsidR="00C07BAC" w:rsidRPr="001D78AE" w:rsidRDefault="00C07BAC" w:rsidP="00C07BAC">
      <w:pPr>
        <w:pStyle w:val="Paragraphedeliste"/>
        <w:numPr>
          <w:ilvl w:val="0"/>
          <w:numId w:val="5"/>
        </w:numPr>
        <w:tabs>
          <w:tab w:val="left" w:pos="284"/>
        </w:tabs>
        <w:spacing w:after="0" w:line="360" w:lineRule="auto"/>
        <w:ind w:left="0" w:firstLine="0"/>
        <w:jc w:val="both"/>
        <w:textAlignment w:val="baseline"/>
        <w:rPr>
          <w:rFonts w:asciiTheme="majorBidi" w:hAnsiTheme="majorBidi" w:cstheme="majorBidi"/>
          <w:color w:val="000000" w:themeColor="text1"/>
        </w:rPr>
      </w:pPr>
      <w:r w:rsidRPr="001D78AE">
        <w:rPr>
          <w:rFonts w:asciiTheme="majorBidi" w:hAnsiTheme="majorBidi" w:cstheme="majorBidi"/>
          <w:b/>
          <w:bCs/>
          <w:color w:val="000000" w:themeColor="text1"/>
        </w:rPr>
        <w:t>Les décisions tactiques</w:t>
      </w:r>
      <w:r w:rsidRPr="001D78AE">
        <w:rPr>
          <w:rFonts w:asciiTheme="majorBidi" w:hAnsiTheme="majorBidi" w:cstheme="majorBidi"/>
          <w:color w:val="000000" w:themeColor="text1"/>
          <w:bdr w:val="none" w:sz="0" w:space="0" w:color="auto" w:frame="1"/>
        </w:rPr>
        <w:t> sont prises par le personnel d'encadrement de l'entreprise.   . </w:t>
      </w:r>
      <w:r w:rsidRPr="001D78AE">
        <w:rPr>
          <w:rFonts w:asciiTheme="majorBidi" w:hAnsiTheme="majorBidi" w:cstheme="majorBidi"/>
          <w:color w:val="000000" w:themeColor="text1"/>
        </w:rPr>
        <w:t>Exemples :</w:t>
      </w:r>
      <w:r w:rsidRPr="001D78AE">
        <w:rPr>
          <w:rFonts w:asciiTheme="majorBidi" w:hAnsiTheme="majorBidi" w:cstheme="majorBidi"/>
          <w:color w:val="000000" w:themeColor="text1"/>
          <w:bdr w:val="none" w:sz="0" w:space="0" w:color="auto" w:frame="1"/>
        </w:rPr>
        <w:t> </w:t>
      </w:r>
      <w:r w:rsidRPr="001D78AE">
        <w:rPr>
          <w:rFonts w:asciiTheme="majorBidi" w:hAnsiTheme="majorBidi" w:cstheme="majorBidi"/>
          <w:color w:val="000000" w:themeColor="text1"/>
        </w:rPr>
        <w:t xml:space="preserve">lancement d'une campagne publicitaire, acquisition de matériel de production, recrutement d’un cadre dirigeant. Acquisition d’un brevet. </w:t>
      </w:r>
    </w:p>
    <w:p w:rsidR="00C07BAC" w:rsidRPr="001D78AE" w:rsidRDefault="00C07BAC" w:rsidP="00C07BAC">
      <w:pPr>
        <w:pStyle w:val="Paragraphedeliste"/>
        <w:numPr>
          <w:ilvl w:val="0"/>
          <w:numId w:val="5"/>
        </w:numPr>
        <w:tabs>
          <w:tab w:val="left" w:pos="284"/>
        </w:tabs>
        <w:spacing w:after="0" w:line="360" w:lineRule="auto"/>
        <w:ind w:left="0" w:firstLine="0"/>
        <w:jc w:val="both"/>
        <w:textAlignment w:val="baseline"/>
        <w:rPr>
          <w:rFonts w:asciiTheme="majorBidi" w:hAnsiTheme="majorBidi" w:cstheme="majorBidi"/>
          <w:color w:val="000000" w:themeColor="text1"/>
        </w:rPr>
      </w:pPr>
      <w:r w:rsidRPr="001D78AE">
        <w:rPr>
          <w:rFonts w:asciiTheme="majorBidi" w:hAnsiTheme="majorBidi" w:cstheme="majorBidi"/>
          <w:b/>
          <w:bCs/>
          <w:color w:val="000000" w:themeColor="text1"/>
        </w:rPr>
        <w:t>Les décisions opérationnelles </w:t>
      </w:r>
      <w:r w:rsidRPr="001D78AE">
        <w:rPr>
          <w:rFonts w:asciiTheme="majorBidi" w:hAnsiTheme="majorBidi" w:cstheme="majorBidi"/>
          <w:color w:val="000000" w:themeColor="text1"/>
          <w:bdr w:val="none" w:sz="0" w:space="0" w:color="auto" w:frame="1"/>
        </w:rPr>
        <w:t xml:space="preserve">ont une portée limitée et comportent un risque mineur.  </w:t>
      </w:r>
      <w:r w:rsidRPr="001D78AE">
        <w:rPr>
          <w:rFonts w:asciiTheme="majorBidi" w:hAnsiTheme="majorBidi" w:cstheme="majorBidi"/>
          <w:b/>
          <w:bCs/>
          <w:color w:val="000000" w:themeColor="text1"/>
        </w:rPr>
        <w:t> </w:t>
      </w:r>
      <w:r w:rsidRPr="001D78AE">
        <w:rPr>
          <w:rFonts w:asciiTheme="majorBidi" w:hAnsiTheme="majorBidi" w:cstheme="majorBidi"/>
          <w:color w:val="000000" w:themeColor="text1"/>
        </w:rPr>
        <w:t>Exemples : achat de fournitures de bureau, organisation des horaires de travail.</w:t>
      </w:r>
    </w:p>
    <w:p w:rsidR="00C07BAC" w:rsidRDefault="00C07BAC" w:rsidP="00C07BAC">
      <w:pPr>
        <w:rPr>
          <w:rFonts w:asciiTheme="majorBidi" w:hAnsiTheme="majorBidi" w:cstheme="majorBidi"/>
          <w:b/>
          <w:bCs/>
        </w:rPr>
      </w:pPr>
      <w:r>
        <w:rPr>
          <w:rFonts w:asciiTheme="majorBidi" w:hAnsiTheme="majorBidi" w:cstheme="majorBidi"/>
          <w:b/>
          <w:bCs/>
        </w:rPr>
        <w:t xml:space="preserve">Tableau.4 Types de décision dans l’entreprise </w:t>
      </w:r>
    </w:p>
    <w:tbl>
      <w:tblPr>
        <w:tblStyle w:val="Ombrageclair1"/>
        <w:tblW w:w="9448" w:type="dxa"/>
        <w:tblLook w:val="04A0"/>
      </w:tblPr>
      <w:tblGrid>
        <w:gridCol w:w="2539"/>
        <w:gridCol w:w="2303"/>
        <w:gridCol w:w="2303"/>
        <w:gridCol w:w="2303"/>
      </w:tblGrid>
      <w:tr w:rsidR="00C07BAC" w:rsidRPr="002464B6" w:rsidTr="009D44CF">
        <w:trPr>
          <w:cnfStyle w:val="100000000000"/>
        </w:trPr>
        <w:tc>
          <w:tcPr>
            <w:cnfStyle w:val="001000000000"/>
            <w:tcW w:w="2539" w:type="dxa"/>
            <w:hideMark/>
          </w:tcPr>
          <w:p w:rsidR="00C07BAC" w:rsidRPr="002464B6" w:rsidRDefault="00C07BAC" w:rsidP="009D44CF">
            <w:pPr>
              <w:rPr>
                <w:rFonts w:asciiTheme="majorBidi" w:hAnsiTheme="majorBidi" w:cstheme="majorBidi"/>
                <w:b w:val="0"/>
                <w:bCs w:val="0"/>
                <w:sz w:val="20"/>
                <w:szCs w:val="20"/>
              </w:rPr>
            </w:pPr>
            <w:r w:rsidRPr="002464B6">
              <w:rPr>
                <w:rFonts w:asciiTheme="majorBidi" w:hAnsiTheme="majorBidi" w:cstheme="majorBidi"/>
                <w:b w:val="0"/>
                <w:bCs w:val="0"/>
                <w:sz w:val="20"/>
                <w:szCs w:val="20"/>
              </w:rPr>
              <w:t>Caractéristiques des   décisions</w:t>
            </w:r>
          </w:p>
        </w:tc>
        <w:tc>
          <w:tcPr>
            <w:tcW w:w="2303" w:type="dxa"/>
            <w:hideMark/>
          </w:tcPr>
          <w:p w:rsidR="00C07BAC" w:rsidRPr="002464B6" w:rsidRDefault="00C07BAC" w:rsidP="009D44CF">
            <w:pPr>
              <w:cnfStyle w:val="100000000000"/>
              <w:rPr>
                <w:rFonts w:asciiTheme="majorBidi" w:hAnsiTheme="majorBidi" w:cstheme="majorBidi"/>
                <w:b w:val="0"/>
                <w:bCs w:val="0"/>
                <w:sz w:val="20"/>
                <w:szCs w:val="20"/>
              </w:rPr>
            </w:pPr>
            <w:r w:rsidRPr="002464B6">
              <w:rPr>
                <w:rFonts w:asciiTheme="majorBidi" w:hAnsiTheme="majorBidi" w:cstheme="majorBidi"/>
                <w:b w:val="0"/>
                <w:bCs w:val="0"/>
                <w:sz w:val="20"/>
                <w:szCs w:val="20"/>
              </w:rPr>
              <w:t xml:space="preserve">Décisions  stratégiques </w:t>
            </w:r>
          </w:p>
        </w:tc>
        <w:tc>
          <w:tcPr>
            <w:tcW w:w="2303" w:type="dxa"/>
            <w:hideMark/>
          </w:tcPr>
          <w:p w:rsidR="00C07BAC" w:rsidRPr="002464B6" w:rsidRDefault="00C07BAC" w:rsidP="009D44CF">
            <w:pPr>
              <w:cnfStyle w:val="100000000000"/>
              <w:rPr>
                <w:rFonts w:asciiTheme="majorBidi" w:hAnsiTheme="majorBidi" w:cstheme="majorBidi"/>
                <w:b w:val="0"/>
                <w:bCs w:val="0"/>
                <w:sz w:val="20"/>
                <w:szCs w:val="20"/>
              </w:rPr>
            </w:pPr>
            <w:r w:rsidRPr="002464B6">
              <w:rPr>
                <w:rFonts w:asciiTheme="majorBidi" w:hAnsiTheme="majorBidi" w:cstheme="majorBidi"/>
                <w:b w:val="0"/>
                <w:bCs w:val="0"/>
                <w:sz w:val="20"/>
                <w:szCs w:val="20"/>
              </w:rPr>
              <w:t>Décisions administratives</w:t>
            </w:r>
          </w:p>
        </w:tc>
        <w:tc>
          <w:tcPr>
            <w:tcW w:w="2303" w:type="dxa"/>
            <w:hideMark/>
          </w:tcPr>
          <w:p w:rsidR="00C07BAC" w:rsidRPr="002464B6" w:rsidRDefault="00C07BAC" w:rsidP="009D44CF">
            <w:pPr>
              <w:cnfStyle w:val="100000000000"/>
              <w:rPr>
                <w:rFonts w:asciiTheme="majorBidi" w:hAnsiTheme="majorBidi" w:cstheme="majorBidi"/>
                <w:b w:val="0"/>
                <w:bCs w:val="0"/>
                <w:sz w:val="20"/>
                <w:szCs w:val="20"/>
              </w:rPr>
            </w:pPr>
            <w:r w:rsidRPr="002464B6">
              <w:rPr>
                <w:rFonts w:asciiTheme="majorBidi" w:hAnsiTheme="majorBidi" w:cstheme="majorBidi"/>
                <w:b w:val="0"/>
                <w:bCs w:val="0"/>
                <w:sz w:val="20"/>
                <w:szCs w:val="20"/>
              </w:rPr>
              <w:t>Décisions opérationnelles</w:t>
            </w:r>
          </w:p>
        </w:tc>
      </w:tr>
      <w:tr w:rsidR="00C07BAC" w:rsidRPr="002464B6" w:rsidTr="009D44CF">
        <w:trPr>
          <w:cnfStyle w:val="000000100000"/>
        </w:trPr>
        <w:tc>
          <w:tcPr>
            <w:cnfStyle w:val="001000000000"/>
            <w:tcW w:w="2539" w:type="dxa"/>
            <w:tcBorders>
              <w:top w:val="nil"/>
              <w:bottom w:val="nil"/>
            </w:tcBorders>
            <w:hideMark/>
          </w:tcPr>
          <w:p w:rsidR="00C07BAC" w:rsidRPr="002464B6" w:rsidRDefault="00C07BAC" w:rsidP="009D44CF">
            <w:pPr>
              <w:rPr>
                <w:rFonts w:asciiTheme="majorBidi" w:hAnsiTheme="majorBidi" w:cstheme="majorBidi"/>
                <w:sz w:val="20"/>
                <w:szCs w:val="20"/>
              </w:rPr>
            </w:pPr>
            <w:r w:rsidRPr="002464B6">
              <w:rPr>
                <w:rFonts w:asciiTheme="majorBidi" w:hAnsiTheme="majorBidi" w:cstheme="majorBidi"/>
                <w:sz w:val="20"/>
                <w:szCs w:val="20"/>
              </w:rPr>
              <w:t>Horizon temporel</w:t>
            </w:r>
          </w:p>
        </w:tc>
        <w:tc>
          <w:tcPr>
            <w:tcW w:w="2303" w:type="dxa"/>
            <w:tcBorders>
              <w:top w:val="nil"/>
              <w:bottom w:val="nil"/>
            </w:tcBorders>
            <w:hideMark/>
          </w:tcPr>
          <w:p w:rsidR="00C07BAC" w:rsidRPr="002464B6" w:rsidRDefault="00C07BAC" w:rsidP="009D44CF">
            <w:pPr>
              <w:cnfStyle w:val="000000100000"/>
              <w:rPr>
                <w:rFonts w:asciiTheme="majorBidi" w:hAnsiTheme="majorBidi" w:cstheme="majorBidi"/>
                <w:sz w:val="20"/>
                <w:szCs w:val="20"/>
              </w:rPr>
            </w:pPr>
            <w:r w:rsidRPr="002464B6">
              <w:rPr>
                <w:rFonts w:asciiTheme="majorBidi" w:hAnsiTheme="majorBidi" w:cstheme="majorBidi"/>
                <w:sz w:val="20"/>
                <w:szCs w:val="20"/>
              </w:rPr>
              <w:t>Long terme</w:t>
            </w:r>
          </w:p>
        </w:tc>
        <w:tc>
          <w:tcPr>
            <w:tcW w:w="2303" w:type="dxa"/>
            <w:tcBorders>
              <w:top w:val="nil"/>
              <w:bottom w:val="nil"/>
            </w:tcBorders>
            <w:hideMark/>
          </w:tcPr>
          <w:p w:rsidR="00C07BAC" w:rsidRPr="002464B6" w:rsidRDefault="00C07BAC" w:rsidP="009D44CF">
            <w:pPr>
              <w:cnfStyle w:val="000000100000"/>
              <w:rPr>
                <w:rFonts w:asciiTheme="majorBidi" w:hAnsiTheme="majorBidi" w:cstheme="majorBidi"/>
                <w:sz w:val="20"/>
                <w:szCs w:val="20"/>
              </w:rPr>
            </w:pPr>
            <w:r w:rsidRPr="002464B6">
              <w:rPr>
                <w:rFonts w:asciiTheme="majorBidi" w:hAnsiTheme="majorBidi" w:cstheme="majorBidi"/>
                <w:sz w:val="20"/>
                <w:szCs w:val="20"/>
              </w:rPr>
              <w:t>Moyen termes</w:t>
            </w:r>
          </w:p>
        </w:tc>
        <w:tc>
          <w:tcPr>
            <w:tcW w:w="2303" w:type="dxa"/>
            <w:tcBorders>
              <w:top w:val="nil"/>
              <w:bottom w:val="nil"/>
            </w:tcBorders>
            <w:hideMark/>
          </w:tcPr>
          <w:p w:rsidR="00C07BAC" w:rsidRPr="002464B6" w:rsidRDefault="00C07BAC" w:rsidP="009D44CF">
            <w:pPr>
              <w:cnfStyle w:val="000000100000"/>
              <w:rPr>
                <w:rFonts w:asciiTheme="majorBidi" w:hAnsiTheme="majorBidi" w:cstheme="majorBidi"/>
                <w:sz w:val="20"/>
                <w:szCs w:val="20"/>
              </w:rPr>
            </w:pPr>
            <w:r w:rsidRPr="002464B6">
              <w:rPr>
                <w:rFonts w:asciiTheme="majorBidi" w:hAnsiTheme="majorBidi" w:cstheme="majorBidi"/>
                <w:sz w:val="20"/>
                <w:szCs w:val="20"/>
              </w:rPr>
              <w:t xml:space="preserve">Court terme </w:t>
            </w:r>
          </w:p>
        </w:tc>
      </w:tr>
      <w:tr w:rsidR="00C07BAC" w:rsidRPr="002464B6" w:rsidTr="009D44CF">
        <w:tc>
          <w:tcPr>
            <w:cnfStyle w:val="001000000000"/>
            <w:tcW w:w="2539" w:type="dxa"/>
            <w:tcBorders>
              <w:top w:val="nil"/>
              <w:left w:val="nil"/>
              <w:bottom w:val="nil"/>
              <w:right w:val="nil"/>
            </w:tcBorders>
            <w:hideMark/>
          </w:tcPr>
          <w:p w:rsidR="00C07BAC" w:rsidRPr="002464B6" w:rsidRDefault="00C07BAC" w:rsidP="009D44CF">
            <w:pPr>
              <w:rPr>
                <w:rFonts w:asciiTheme="majorBidi" w:hAnsiTheme="majorBidi" w:cstheme="majorBidi"/>
                <w:sz w:val="20"/>
                <w:szCs w:val="20"/>
              </w:rPr>
            </w:pPr>
            <w:r w:rsidRPr="002464B6">
              <w:rPr>
                <w:rFonts w:asciiTheme="majorBidi" w:hAnsiTheme="majorBidi" w:cstheme="majorBidi"/>
                <w:sz w:val="20"/>
                <w:szCs w:val="20"/>
              </w:rPr>
              <w:t>Fréquences et degré de répétitivité</w:t>
            </w:r>
          </w:p>
        </w:tc>
        <w:tc>
          <w:tcPr>
            <w:tcW w:w="2303" w:type="dxa"/>
            <w:tcBorders>
              <w:top w:val="nil"/>
              <w:left w:val="nil"/>
              <w:bottom w:val="nil"/>
              <w:right w:val="nil"/>
            </w:tcBorders>
            <w:hideMark/>
          </w:tcPr>
          <w:p w:rsidR="00C07BAC" w:rsidRPr="002464B6" w:rsidRDefault="00C07BAC" w:rsidP="009D44CF">
            <w:pPr>
              <w:cnfStyle w:val="000000000000"/>
              <w:rPr>
                <w:rFonts w:asciiTheme="majorBidi" w:hAnsiTheme="majorBidi" w:cstheme="majorBidi"/>
                <w:sz w:val="20"/>
                <w:szCs w:val="20"/>
              </w:rPr>
            </w:pPr>
            <w:r w:rsidRPr="002464B6">
              <w:rPr>
                <w:rFonts w:asciiTheme="majorBidi" w:hAnsiTheme="majorBidi" w:cstheme="majorBidi"/>
                <w:sz w:val="20"/>
                <w:szCs w:val="20"/>
              </w:rPr>
              <w:t>Décision</w:t>
            </w:r>
            <w:r>
              <w:rPr>
                <w:rFonts w:asciiTheme="majorBidi" w:hAnsiTheme="majorBidi" w:cstheme="majorBidi"/>
                <w:sz w:val="20"/>
                <w:szCs w:val="20"/>
              </w:rPr>
              <w:t>s</w:t>
            </w:r>
            <w:r w:rsidRPr="002464B6">
              <w:rPr>
                <w:rFonts w:asciiTheme="majorBidi" w:hAnsiTheme="majorBidi" w:cstheme="majorBidi"/>
                <w:sz w:val="20"/>
                <w:szCs w:val="20"/>
              </w:rPr>
              <w:t xml:space="preserve"> unique</w:t>
            </w:r>
            <w:r>
              <w:rPr>
                <w:rFonts w:asciiTheme="majorBidi" w:hAnsiTheme="majorBidi" w:cstheme="majorBidi"/>
                <w:sz w:val="20"/>
                <w:szCs w:val="20"/>
              </w:rPr>
              <w:t xml:space="preserve">s </w:t>
            </w:r>
            <w:r w:rsidRPr="002464B6">
              <w:rPr>
                <w:rFonts w:asciiTheme="majorBidi" w:hAnsiTheme="majorBidi" w:cstheme="majorBidi"/>
                <w:sz w:val="20"/>
                <w:szCs w:val="20"/>
              </w:rPr>
              <w:t xml:space="preserve"> </w:t>
            </w:r>
          </w:p>
        </w:tc>
        <w:tc>
          <w:tcPr>
            <w:tcW w:w="2303" w:type="dxa"/>
            <w:tcBorders>
              <w:top w:val="nil"/>
              <w:left w:val="nil"/>
              <w:bottom w:val="nil"/>
              <w:right w:val="nil"/>
            </w:tcBorders>
            <w:hideMark/>
          </w:tcPr>
          <w:p w:rsidR="00C07BAC" w:rsidRPr="002464B6" w:rsidRDefault="00C07BAC" w:rsidP="009D44CF">
            <w:pPr>
              <w:cnfStyle w:val="000000000000"/>
              <w:rPr>
                <w:rFonts w:asciiTheme="majorBidi" w:hAnsiTheme="majorBidi" w:cstheme="majorBidi"/>
                <w:sz w:val="20"/>
                <w:szCs w:val="20"/>
              </w:rPr>
            </w:pPr>
            <w:r w:rsidRPr="002464B6">
              <w:rPr>
                <w:rFonts w:asciiTheme="majorBidi" w:hAnsiTheme="majorBidi" w:cstheme="majorBidi"/>
                <w:sz w:val="20"/>
                <w:szCs w:val="20"/>
              </w:rPr>
              <w:t>Décisions peu répétitives</w:t>
            </w:r>
          </w:p>
        </w:tc>
        <w:tc>
          <w:tcPr>
            <w:tcW w:w="2303" w:type="dxa"/>
            <w:tcBorders>
              <w:top w:val="nil"/>
              <w:left w:val="nil"/>
              <w:bottom w:val="nil"/>
              <w:right w:val="nil"/>
            </w:tcBorders>
            <w:hideMark/>
          </w:tcPr>
          <w:p w:rsidR="00C07BAC" w:rsidRPr="002464B6" w:rsidRDefault="00C07BAC" w:rsidP="009D44CF">
            <w:pPr>
              <w:cnfStyle w:val="000000000000"/>
              <w:rPr>
                <w:rFonts w:asciiTheme="majorBidi" w:hAnsiTheme="majorBidi" w:cstheme="majorBidi"/>
                <w:sz w:val="20"/>
                <w:szCs w:val="20"/>
              </w:rPr>
            </w:pPr>
            <w:r w:rsidRPr="002464B6">
              <w:rPr>
                <w:rFonts w:asciiTheme="majorBidi" w:hAnsiTheme="majorBidi" w:cstheme="majorBidi"/>
                <w:sz w:val="20"/>
                <w:szCs w:val="20"/>
              </w:rPr>
              <w:t xml:space="preserve"> Décision très nombreuses et répétitives </w:t>
            </w:r>
          </w:p>
        </w:tc>
      </w:tr>
      <w:tr w:rsidR="00C07BAC" w:rsidRPr="002464B6" w:rsidTr="009D44CF">
        <w:trPr>
          <w:cnfStyle w:val="000000100000"/>
        </w:trPr>
        <w:tc>
          <w:tcPr>
            <w:cnfStyle w:val="001000000000"/>
            <w:tcW w:w="2539" w:type="dxa"/>
            <w:tcBorders>
              <w:top w:val="nil"/>
              <w:bottom w:val="nil"/>
            </w:tcBorders>
            <w:hideMark/>
          </w:tcPr>
          <w:p w:rsidR="00C07BAC" w:rsidRPr="002464B6" w:rsidRDefault="00C07BAC" w:rsidP="009D44CF">
            <w:pPr>
              <w:rPr>
                <w:rFonts w:asciiTheme="majorBidi" w:hAnsiTheme="majorBidi" w:cstheme="majorBidi"/>
                <w:sz w:val="20"/>
                <w:szCs w:val="20"/>
              </w:rPr>
            </w:pPr>
            <w:r w:rsidRPr="002464B6">
              <w:rPr>
                <w:rFonts w:asciiTheme="majorBidi" w:hAnsiTheme="majorBidi" w:cstheme="majorBidi"/>
                <w:sz w:val="20"/>
                <w:szCs w:val="20"/>
              </w:rPr>
              <w:t xml:space="preserve">Degré d’incertitude </w:t>
            </w:r>
          </w:p>
        </w:tc>
        <w:tc>
          <w:tcPr>
            <w:tcW w:w="2303" w:type="dxa"/>
            <w:tcBorders>
              <w:top w:val="nil"/>
              <w:bottom w:val="nil"/>
            </w:tcBorders>
            <w:hideMark/>
          </w:tcPr>
          <w:p w:rsidR="00C07BAC" w:rsidRPr="002464B6" w:rsidRDefault="00C07BAC" w:rsidP="009D44CF">
            <w:pPr>
              <w:cnfStyle w:val="000000100000"/>
              <w:rPr>
                <w:rFonts w:asciiTheme="majorBidi" w:hAnsiTheme="majorBidi" w:cstheme="majorBidi"/>
                <w:sz w:val="20"/>
                <w:szCs w:val="20"/>
              </w:rPr>
            </w:pPr>
            <w:r w:rsidRPr="002464B6">
              <w:rPr>
                <w:rFonts w:asciiTheme="majorBidi" w:hAnsiTheme="majorBidi" w:cstheme="majorBidi"/>
                <w:sz w:val="20"/>
                <w:szCs w:val="20"/>
              </w:rPr>
              <w:t xml:space="preserve">Très élevé </w:t>
            </w:r>
          </w:p>
        </w:tc>
        <w:tc>
          <w:tcPr>
            <w:tcW w:w="2303" w:type="dxa"/>
            <w:tcBorders>
              <w:top w:val="nil"/>
              <w:bottom w:val="nil"/>
            </w:tcBorders>
            <w:hideMark/>
          </w:tcPr>
          <w:p w:rsidR="00C07BAC" w:rsidRPr="002464B6" w:rsidRDefault="00C07BAC" w:rsidP="009D44CF">
            <w:pPr>
              <w:cnfStyle w:val="000000100000"/>
              <w:rPr>
                <w:rFonts w:asciiTheme="majorBidi" w:hAnsiTheme="majorBidi" w:cstheme="majorBidi"/>
                <w:sz w:val="20"/>
                <w:szCs w:val="20"/>
              </w:rPr>
            </w:pPr>
            <w:r w:rsidRPr="002464B6">
              <w:rPr>
                <w:rFonts w:asciiTheme="majorBidi" w:hAnsiTheme="majorBidi" w:cstheme="majorBidi"/>
                <w:sz w:val="20"/>
                <w:szCs w:val="20"/>
              </w:rPr>
              <w:t>élevé</w:t>
            </w:r>
          </w:p>
        </w:tc>
        <w:tc>
          <w:tcPr>
            <w:tcW w:w="2303" w:type="dxa"/>
            <w:tcBorders>
              <w:top w:val="nil"/>
              <w:bottom w:val="nil"/>
            </w:tcBorders>
            <w:hideMark/>
          </w:tcPr>
          <w:p w:rsidR="00C07BAC" w:rsidRPr="002464B6" w:rsidRDefault="00C07BAC" w:rsidP="009D44CF">
            <w:pPr>
              <w:cnfStyle w:val="000000100000"/>
              <w:rPr>
                <w:rFonts w:asciiTheme="majorBidi" w:hAnsiTheme="majorBidi" w:cstheme="majorBidi"/>
                <w:sz w:val="20"/>
                <w:szCs w:val="20"/>
              </w:rPr>
            </w:pPr>
            <w:r w:rsidRPr="002464B6">
              <w:rPr>
                <w:rFonts w:asciiTheme="majorBidi" w:hAnsiTheme="majorBidi" w:cstheme="majorBidi"/>
                <w:sz w:val="20"/>
                <w:szCs w:val="20"/>
              </w:rPr>
              <w:t xml:space="preserve">Faible </w:t>
            </w:r>
          </w:p>
        </w:tc>
      </w:tr>
      <w:tr w:rsidR="00C07BAC" w:rsidRPr="002464B6" w:rsidTr="009D44CF">
        <w:tc>
          <w:tcPr>
            <w:cnfStyle w:val="001000000000"/>
            <w:tcW w:w="2539" w:type="dxa"/>
            <w:tcBorders>
              <w:top w:val="nil"/>
              <w:left w:val="nil"/>
              <w:bottom w:val="nil"/>
              <w:right w:val="nil"/>
            </w:tcBorders>
            <w:hideMark/>
          </w:tcPr>
          <w:p w:rsidR="00C07BAC" w:rsidRPr="002464B6" w:rsidRDefault="00C07BAC" w:rsidP="009D44CF">
            <w:pPr>
              <w:rPr>
                <w:rFonts w:asciiTheme="majorBidi" w:hAnsiTheme="majorBidi" w:cstheme="majorBidi"/>
                <w:sz w:val="20"/>
                <w:szCs w:val="20"/>
              </w:rPr>
            </w:pPr>
            <w:r w:rsidRPr="002464B6">
              <w:rPr>
                <w:rFonts w:asciiTheme="majorBidi" w:hAnsiTheme="majorBidi" w:cstheme="majorBidi"/>
                <w:sz w:val="20"/>
                <w:szCs w:val="20"/>
              </w:rPr>
              <w:t>Degré de réversibilité</w:t>
            </w:r>
          </w:p>
        </w:tc>
        <w:tc>
          <w:tcPr>
            <w:tcW w:w="2303" w:type="dxa"/>
            <w:tcBorders>
              <w:top w:val="nil"/>
              <w:left w:val="nil"/>
              <w:bottom w:val="nil"/>
              <w:right w:val="nil"/>
            </w:tcBorders>
            <w:hideMark/>
          </w:tcPr>
          <w:p w:rsidR="00C07BAC" w:rsidRPr="002464B6" w:rsidRDefault="00C07BAC" w:rsidP="009D44CF">
            <w:pPr>
              <w:cnfStyle w:val="000000000000"/>
              <w:rPr>
                <w:rFonts w:asciiTheme="majorBidi" w:hAnsiTheme="majorBidi" w:cstheme="majorBidi"/>
                <w:sz w:val="20"/>
                <w:szCs w:val="20"/>
              </w:rPr>
            </w:pPr>
            <w:r w:rsidRPr="002464B6">
              <w:rPr>
                <w:rFonts w:asciiTheme="majorBidi" w:hAnsiTheme="majorBidi" w:cstheme="majorBidi"/>
                <w:sz w:val="20"/>
                <w:szCs w:val="20"/>
              </w:rPr>
              <w:t>Quasi nul</w:t>
            </w:r>
          </w:p>
        </w:tc>
        <w:tc>
          <w:tcPr>
            <w:tcW w:w="2303" w:type="dxa"/>
            <w:tcBorders>
              <w:top w:val="nil"/>
              <w:left w:val="nil"/>
              <w:bottom w:val="nil"/>
              <w:right w:val="nil"/>
            </w:tcBorders>
            <w:hideMark/>
          </w:tcPr>
          <w:p w:rsidR="00C07BAC" w:rsidRPr="002464B6" w:rsidRDefault="00C07BAC" w:rsidP="009D44CF">
            <w:pPr>
              <w:cnfStyle w:val="000000000000"/>
              <w:rPr>
                <w:rFonts w:asciiTheme="majorBidi" w:hAnsiTheme="majorBidi" w:cstheme="majorBidi"/>
                <w:sz w:val="20"/>
                <w:szCs w:val="20"/>
              </w:rPr>
            </w:pPr>
            <w:r w:rsidRPr="002464B6">
              <w:rPr>
                <w:rFonts w:asciiTheme="majorBidi" w:hAnsiTheme="majorBidi" w:cstheme="majorBidi"/>
                <w:sz w:val="20"/>
                <w:szCs w:val="20"/>
              </w:rPr>
              <w:t xml:space="preserve">Faible </w:t>
            </w:r>
          </w:p>
        </w:tc>
        <w:tc>
          <w:tcPr>
            <w:tcW w:w="2303" w:type="dxa"/>
            <w:tcBorders>
              <w:top w:val="nil"/>
              <w:left w:val="nil"/>
              <w:bottom w:val="nil"/>
              <w:right w:val="nil"/>
            </w:tcBorders>
            <w:hideMark/>
          </w:tcPr>
          <w:p w:rsidR="00C07BAC" w:rsidRPr="002464B6" w:rsidRDefault="00C07BAC" w:rsidP="009D44CF">
            <w:pPr>
              <w:cnfStyle w:val="000000000000"/>
              <w:rPr>
                <w:rFonts w:asciiTheme="majorBidi" w:hAnsiTheme="majorBidi" w:cstheme="majorBidi"/>
                <w:sz w:val="20"/>
                <w:szCs w:val="20"/>
              </w:rPr>
            </w:pPr>
            <w:r w:rsidRPr="002464B6">
              <w:rPr>
                <w:rFonts w:asciiTheme="majorBidi" w:hAnsiTheme="majorBidi" w:cstheme="majorBidi"/>
                <w:sz w:val="20"/>
                <w:szCs w:val="20"/>
              </w:rPr>
              <w:t>faible</w:t>
            </w:r>
          </w:p>
        </w:tc>
      </w:tr>
      <w:tr w:rsidR="00C07BAC" w:rsidRPr="002464B6" w:rsidTr="009D44CF">
        <w:trPr>
          <w:cnfStyle w:val="000000100000"/>
        </w:trPr>
        <w:tc>
          <w:tcPr>
            <w:cnfStyle w:val="001000000000"/>
            <w:tcW w:w="2539" w:type="dxa"/>
            <w:tcBorders>
              <w:top w:val="nil"/>
              <w:bottom w:val="single" w:sz="8" w:space="0" w:color="000000" w:themeColor="text1"/>
            </w:tcBorders>
            <w:hideMark/>
          </w:tcPr>
          <w:p w:rsidR="00C07BAC" w:rsidRPr="002464B6" w:rsidRDefault="00C07BAC" w:rsidP="009D44CF">
            <w:pPr>
              <w:rPr>
                <w:rFonts w:asciiTheme="majorBidi" w:hAnsiTheme="majorBidi" w:cstheme="majorBidi"/>
                <w:sz w:val="20"/>
                <w:szCs w:val="20"/>
              </w:rPr>
            </w:pPr>
            <w:r w:rsidRPr="002464B6">
              <w:rPr>
                <w:rFonts w:asciiTheme="majorBidi" w:hAnsiTheme="majorBidi" w:cstheme="majorBidi"/>
                <w:sz w:val="20"/>
                <w:szCs w:val="20"/>
              </w:rPr>
              <w:t xml:space="preserve">Niveau de décisions </w:t>
            </w:r>
          </w:p>
        </w:tc>
        <w:tc>
          <w:tcPr>
            <w:tcW w:w="2303" w:type="dxa"/>
            <w:tcBorders>
              <w:top w:val="nil"/>
              <w:bottom w:val="single" w:sz="8" w:space="0" w:color="000000" w:themeColor="text1"/>
            </w:tcBorders>
            <w:hideMark/>
          </w:tcPr>
          <w:p w:rsidR="00C07BAC" w:rsidRPr="002464B6" w:rsidRDefault="00C07BAC" w:rsidP="009D44CF">
            <w:pPr>
              <w:cnfStyle w:val="000000100000"/>
              <w:rPr>
                <w:rFonts w:asciiTheme="majorBidi" w:hAnsiTheme="majorBidi" w:cstheme="majorBidi"/>
                <w:sz w:val="20"/>
                <w:szCs w:val="20"/>
              </w:rPr>
            </w:pPr>
            <w:r w:rsidRPr="002464B6">
              <w:rPr>
                <w:rFonts w:asciiTheme="majorBidi" w:hAnsiTheme="majorBidi" w:cstheme="majorBidi"/>
                <w:sz w:val="20"/>
                <w:szCs w:val="20"/>
              </w:rPr>
              <w:t xml:space="preserve">Direction générale </w:t>
            </w:r>
          </w:p>
        </w:tc>
        <w:tc>
          <w:tcPr>
            <w:tcW w:w="2303" w:type="dxa"/>
            <w:tcBorders>
              <w:top w:val="nil"/>
              <w:bottom w:val="single" w:sz="8" w:space="0" w:color="000000" w:themeColor="text1"/>
            </w:tcBorders>
            <w:hideMark/>
          </w:tcPr>
          <w:p w:rsidR="00C07BAC" w:rsidRPr="002464B6" w:rsidRDefault="00C07BAC" w:rsidP="009D44CF">
            <w:pPr>
              <w:cnfStyle w:val="000000100000"/>
              <w:rPr>
                <w:rFonts w:asciiTheme="majorBidi" w:hAnsiTheme="majorBidi" w:cstheme="majorBidi"/>
                <w:sz w:val="20"/>
                <w:szCs w:val="20"/>
              </w:rPr>
            </w:pPr>
            <w:r w:rsidRPr="002464B6">
              <w:rPr>
                <w:rFonts w:asciiTheme="majorBidi" w:hAnsiTheme="majorBidi" w:cstheme="majorBidi"/>
                <w:sz w:val="20"/>
                <w:szCs w:val="20"/>
              </w:rPr>
              <w:t>Direction fonctionnelle</w:t>
            </w:r>
          </w:p>
        </w:tc>
        <w:tc>
          <w:tcPr>
            <w:tcW w:w="2303" w:type="dxa"/>
            <w:tcBorders>
              <w:top w:val="nil"/>
              <w:bottom w:val="single" w:sz="8" w:space="0" w:color="000000" w:themeColor="text1"/>
            </w:tcBorders>
            <w:hideMark/>
          </w:tcPr>
          <w:p w:rsidR="00C07BAC" w:rsidRPr="002464B6" w:rsidRDefault="00C07BAC" w:rsidP="009D44CF">
            <w:pPr>
              <w:cnfStyle w:val="000000100000"/>
              <w:rPr>
                <w:rFonts w:asciiTheme="majorBidi" w:hAnsiTheme="majorBidi" w:cstheme="majorBidi"/>
                <w:sz w:val="20"/>
                <w:szCs w:val="20"/>
              </w:rPr>
            </w:pPr>
            <w:r w:rsidRPr="002464B6">
              <w:rPr>
                <w:rFonts w:asciiTheme="majorBidi" w:hAnsiTheme="majorBidi" w:cstheme="majorBidi"/>
                <w:sz w:val="20"/>
                <w:szCs w:val="20"/>
              </w:rPr>
              <w:t>Décision décentralisée (service )</w:t>
            </w:r>
          </w:p>
        </w:tc>
      </w:tr>
    </w:tbl>
    <w:p w:rsidR="00C07BAC" w:rsidRDefault="00C07BAC" w:rsidP="00C07BAC">
      <w:pPr>
        <w:ind w:firstLine="708"/>
        <w:rPr>
          <w:rFonts w:asciiTheme="majorBidi" w:hAnsiTheme="majorBidi" w:cstheme="majorBidi"/>
          <w:b/>
          <w:bCs/>
        </w:rPr>
      </w:pPr>
      <w:r>
        <w:rPr>
          <w:rFonts w:asciiTheme="majorBidi" w:hAnsiTheme="majorBidi" w:cstheme="majorBidi"/>
          <w:b/>
          <w:bCs/>
        </w:rPr>
        <w:t xml:space="preserve">Exemple </w:t>
      </w:r>
    </w:p>
    <w:p w:rsidR="00C07BAC" w:rsidRDefault="00C07BAC" w:rsidP="00C07BAC">
      <w:pPr>
        <w:pStyle w:val="NormalWeb"/>
        <w:numPr>
          <w:ilvl w:val="0"/>
          <w:numId w:val="4"/>
        </w:numPr>
        <w:shd w:val="clear" w:color="auto" w:fill="FFFFFF"/>
        <w:tabs>
          <w:tab w:val="left" w:pos="284"/>
        </w:tabs>
        <w:spacing w:before="0" w:beforeAutospacing="0" w:after="0" w:afterAutospacing="0" w:line="276" w:lineRule="auto"/>
        <w:ind w:left="0" w:firstLine="0"/>
        <w:jc w:val="both"/>
      </w:pPr>
      <w:r>
        <w:rPr>
          <w:rFonts w:asciiTheme="majorBidi" w:hAnsiTheme="majorBidi" w:cstheme="majorBidi"/>
          <w:color w:val="222222"/>
          <w:sz w:val="22"/>
          <w:szCs w:val="22"/>
        </w:rPr>
        <w:t xml:space="preserve">Sonelgaz a inscrit dans son plan stratégique, adopté en 2009 par le Conseil d’Administration, un axe de diversification du mix énergétique en adoptant les Energies renouvelables  (solaire et éolien)».      la stratégie adoptée par Sonelgaz,  a pour objectif de mettre le groupe en tête de file de la transition et du programme </w:t>
      </w:r>
      <w:r>
        <w:rPr>
          <w:rFonts w:asciiTheme="majorBidi" w:hAnsiTheme="majorBidi" w:cstheme="majorBidi"/>
          <w:b/>
          <w:bCs/>
          <w:color w:val="222222"/>
          <w:sz w:val="22"/>
          <w:szCs w:val="22"/>
          <w:u w:val="single"/>
        </w:rPr>
        <w:t>2015/2030</w:t>
      </w:r>
      <w:r>
        <w:rPr>
          <w:rFonts w:asciiTheme="majorBidi" w:hAnsiTheme="majorBidi" w:cstheme="majorBidi"/>
          <w:color w:val="222222"/>
          <w:sz w:val="22"/>
          <w:szCs w:val="22"/>
        </w:rPr>
        <w:t xml:space="preserve"> pour la production de </w:t>
      </w:r>
      <w:r>
        <w:rPr>
          <w:rFonts w:asciiTheme="majorBidi" w:hAnsiTheme="majorBidi" w:cstheme="majorBidi"/>
          <w:b/>
          <w:bCs/>
          <w:color w:val="222222"/>
          <w:sz w:val="22"/>
          <w:szCs w:val="22"/>
          <w:u w:val="single"/>
        </w:rPr>
        <w:t>22MW</w:t>
      </w:r>
      <w:r>
        <w:rPr>
          <w:rFonts w:asciiTheme="majorBidi" w:hAnsiTheme="majorBidi" w:cstheme="majorBidi"/>
          <w:color w:val="222222"/>
          <w:sz w:val="22"/>
          <w:szCs w:val="22"/>
        </w:rPr>
        <w:t xml:space="preserve"> d’électricité à partir d’énergie renouvelable notamment, le solaire.</w:t>
      </w:r>
    </w:p>
    <w:p w:rsidR="00C07BAC" w:rsidRDefault="00C07BAC" w:rsidP="00C07BAC">
      <w:pPr>
        <w:pStyle w:val="Paragraphedeliste"/>
        <w:numPr>
          <w:ilvl w:val="0"/>
          <w:numId w:val="4"/>
        </w:numPr>
        <w:tabs>
          <w:tab w:val="left" w:pos="284"/>
        </w:tabs>
        <w:spacing w:after="0"/>
        <w:ind w:left="0" w:firstLine="0"/>
        <w:contextualSpacing/>
        <w:jc w:val="both"/>
        <w:rPr>
          <w:rFonts w:asciiTheme="majorBidi" w:hAnsiTheme="majorBidi" w:cstheme="majorBidi"/>
        </w:rPr>
      </w:pPr>
      <w:r>
        <w:rPr>
          <w:rFonts w:asciiTheme="majorBidi" w:hAnsiTheme="majorBidi" w:cstheme="majorBidi"/>
        </w:rPr>
        <w:lastRenderedPageBreak/>
        <w:t xml:space="preserve">L’intégration en </w:t>
      </w:r>
      <w:r>
        <w:rPr>
          <w:rFonts w:asciiTheme="majorBidi" w:hAnsiTheme="majorBidi" w:cstheme="majorBidi"/>
          <w:b/>
          <w:bCs/>
          <w:u w:val="single"/>
        </w:rPr>
        <w:t>2009</w:t>
      </w:r>
      <w:r>
        <w:rPr>
          <w:rFonts w:asciiTheme="majorBidi" w:hAnsiTheme="majorBidi" w:cstheme="majorBidi"/>
        </w:rPr>
        <w:t xml:space="preserve"> de la société Rouiba Eclairage dans le Groupe. La mission de   la </w:t>
      </w:r>
      <w:r w:rsidRPr="002464B6">
        <w:rPr>
          <w:rFonts w:asciiTheme="majorBidi" w:hAnsiTheme="majorBidi" w:cstheme="majorBidi"/>
          <w:b/>
          <w:bCs/>
          <w:u w:val="single"/>
        </w:rPr>
        <w:t>fil</w:t>
      </w:r>
      <w:r>
        <w:rPr>
          <w:rFonts w:asciiTheme="majorBidi" w:hAnsiTheme="majorBidi" w:cstheme="majorBidi"/>
          <w:b/>
          <w:bCs/>
          <w:u w:val="single"/>
        </w:rPr>
        <w:t>i</w:t>
      </w:r>
      <w:r w:rsidRPr="002464B6">
        <w:rPr>
          <w:rFonts w:asciiTheme="majorBidi" w:hAnsiTheme="majorBidi" w:cstheme="majorBidi"/>
          <w:b/>
          <w:bCs/>
          <w:u w:val="single"/>
        </w:rPr>
        <w:t>ale Rouiba</w:t>
      </w:r>
      <w:r>
        <w:rPr>
          <w:rFonts w:asciiTheme="majorBidi" w:hAnsiTheme="majorBidi" w:cstheme="majorBidi"/>
        </w:rPr>
        <w:t xml:space="preserve"> Eclairage est de réaliser une usine de fabrication de panneaux solaires d’une puissance totale de 50 MW/an à partir de 2012-2013 s’inscrit comme un élément central de mise en œuvre de cette stratégie. </w:t>
      </w:r>
    </w:p>
    <w:p w:rsidR="00C07BAC" w:rsidRDefault="00C07BAC" w:rsidP="00C07BAC">
      <w:pPr>
        <w:autoSpaceDE w:val="0"/>
        <w:autoSpaceDN w:val="0"/>
        <w:adjustRightInd w:val="0"/>
        <w:spacing w:line="360" w:lineRule="auto"/>
        <w:ind w:firstLine="708"/>
        <w:jc w:val="both"/>
        <w:rPr>
          <w:rFonts w:asciiTheme="majorBidi" w:hAnsiTheme="majorBidi" w:cstheme="majorBidi"/>
        </w:rPr>
      </w:pPr>
    </w:p>
    <w:p w:rsidR="00C07BAC" w:rsidRDefault="00C07BAC" w:rsidP="00C07BAC">
      <w:pPr>
        <w:pStyle w:val="Paragraphedeliste"/>
        <w:tabs>
          <w:tab w:val="left" w:pos="993"/>
        </w:tabs>
        <w:spacing w:after="0" w:line="360" w:lineRule="auto"/>
        <w:ind w:left="0"/>
        <w:jc w:val="both"/>
        <w:rPr>
          <w:rFonts w:asciiTheme="majorBidi" w:hAnsiTheme="majorBidi" w:cstheme="majorBidi"/>
          <w:sz w:val="20"/>
          <w:szCs w:val="20"/>
        </w:rPr>
      </w:pPr>
    </w:p>
    <w:p w:rsidR="00C07BAC" w:rsidRDefault="00C07BAC" w:rsidP="00C07BAC">
      <w:pPr>
        <w:pStyle w:val="Paragraphedeliste"/>
        <w:tabs>
          <w:tab w:val="left" w:pos="993"/>
        </w:tabs>
        <w:spacing w:after="0" w:line="360" w:lineRule="auto"/>
        <w:ind w:left="0"/>
        <w:jc w:val="both"/>
        <w:rPr>
          <w:rFonts w:asciiTheme="majorBidi" w:hAnsiTheme="majorBidi" w:cstheme="majorBidi"/>
          <w:sz w:val="20"/>
          <w:szCs w:val="20"/>
        </w:rPr>
      </w:pPr>
    </w:p>
    <w:p w:rsidR="00C07BAC" w:rsidRDefault="00C07BAC" w:rsidP="00C07BAC">
      <w:pPr>
        <w:pStyle w:val="Paragraphedeliste"/>
        <w:tabs>
          <w:tab w:val="left" w:pos="993"/>
        </w:tabs>
        <w:spacing w:after="0" w:line="360" w:lineRule="auto"/>
        <w:ind w:left="0"/>
        <w:jc w:val="both"/>
        <w:rPr>
          <w:rFonts w:asciiTheme="majorBidi" w:hAnsiTheme="majorBidi" w:cstheme="majorBidi"/>
          <w:sz w:val="20"/>
          <w:szCs w:val="20"/>
        </w:rPr>
      </w:pPr>
    </w:p>
    <w:p w:rsidR="00C07BAC" w:rsidRPr="006B0940" w:rsidRDefault="00C07BAC" w:rsidP="00C07BAC">
      <w:pPr>
        <w:pStyle w:val="Paragraphedeliste"/>
        <w:tabs>
          <w:tab w:val="left" w:pos="993"/>
        </w:tabs>
        <w:spacing w:after="0" w:line="360" w:lineRule="auto"/>
        <w:ind w:left="0"/>
        <w:jc w:val="both"/>
        <w:rPr>
          <w:rFonts w:asciiTheme="majorBidi" w:hAnsiTheme="majorBidi" w:cstheme="majorBidi"/>
          <w:sz w:val="20"/>
          <w:szCs w:val="20"/>
        </w:rPr>
      </w:pPr>
      <w:r>
        <w:rPr>
          <w:rFonts w:asciiTheme="majorBidi" w:hAnsiTheme="majorBidi" w:cstheme="majorBidi"/>
          <w:sz w:val="20"/>
          <w:szCs w:val="20"/>
        </w:rPr>
        <w:t xml:space="preserve">La stratégie  </w:t>
      </w:r>
      <w:r w:rsidRPr="006B0940">
        <w:rPr>
          <w:rFonts w:asciiTheme="majorBidi" w:hAnsiTheme="majorBidi" w:cstheme="majorBidi"/>
          <w:sz w:val="20"/>
          <w:szCs w:val="20"/>
        </w:rPr>
        <w:t>Une grande partie   de ce texte est tirée d’un article de LORINON P et TARONDEAU J.P</w:t>
      </w:r>
      <w:r>
        <w:rPr>
          <w:rFonts w:asciiTheme="majorBidi" w:hAnsiTheme="majorBidi" w:cstheme="majorBidi"/>
          <w:sz w:val="20"/>
          <w:szCs w:val="20"/>
        </w:rPr>
        <w:t xml:space="preserve"> </w:t>
      </w:r>
      <w:r w:rsidRPr="00251D3A">
        <w:rPr>
          <w:rFonts w:asciiTheme="majorBidi" w:hAnsiTheme="majorBidi" w:cstheme="majorBidi"/>
          <w:sz w:val="20"/>
          <w:szCs w:val="20"/>
          <w:vertAlign w:val="superscript"/>
        </w:rPr>
        <w:footnoteReference w:id="2"/>
      </w:r>
      <w:r w:rsidRPr="006B0940">
        <w:rPr>
          <w:rFonts w:asciiTheme="majorBidi" w:hAnsiTheme="majorBidi" w:cstheme="majorBidi"/>
          <w:sz w:val="20"/>
          <w:szCs w:val="20"/>
        </w:rPr>
        <w:t xml:space="preserve"> sur le développement théorique du concept de stratégie dans le </w:t>
      </w:r>
      <w:r>
        <w:rPr>
          <w:rFonts w:asciiTheme="majorBidi" w:hAnsiTheme="majorBidi" w:cstheme="majorBidi"/>
          <w:sz w:val="20"/>
          <w:szCs w:val="20"/>
        </w:rPr>
        <w:t>domaine</w:t>
      </w:r>
      <w:r w:rsidRPr="006B0940">
        <w:rPr>
          <w:rFonts w:asciiTheme="majorBidi" w:hAnsiTheme="majorBidi" w:cstheme="majorBidi"/>
          <w:sz w:val="20"/>
          <w:szCs w:val="20"/>
        </w:rPr>
        <w:t xml:space="preserve"> du management.  </w:t>
      </w:r>
    </w:p>
    <w:p w:rsidR="00C07BAC" w:rsidRPr="00C93921" w:rsidRDefault="00C07BAC" w:rsidP="00C07BAC">
      <w:pPr>
        <w:autoSpaceDE w:val="0"/>
        <w:autoSpaceDN w:val="0"/>
        <w:adjustRightInd w:val="0"/>
      </w:pPr>
    </w:p>
    <w:p w:rsidR="00C07BAC" w:rsidRDefault="00C07BAC" w:rsidP="00C07BAC">
      <w:pPr>
        <w:pStyle w:val="Paragraphedeliste"/>
        <w:numPr>
          <w:ilvl w:val="0"/>
          <w:numId w:val="1"/>
        </w:numPr>
        <w:autoSpaceDE w:val="0"/>
        <w:autoSpaceDN w:val="0"/>
        <w:adjustRightInd w:val="0"/>
        <w:spacing w:after="0"/>
        <w:contextualSpacing/>
        <w:jc w:val="both"/>
        <w:rPr>
          <w:rFonts w:ascii="Times New Roman" w:hAnsi="Times New Roman" w:cs="Times New Roman"/>
          <w:b/>
          <w:bCs/>
          <w:u w:val="single"/>
        </w:rPr>
      </w:pPr>
      <w:r>
        <w:rPr>
          <w:rFonts w:ascii="Times New Roman" w:hAnsi="Times New Roman" w:cs="Times New Roman"/>
          <w:b/>
          <w:bCs/>
          <w:u w:val="single"/>
        </w:rPr>
        <w:t>La stratégie comme modalité de finalisation dans l’entreprise</w:t>
      </w:r>
    </w:p>
    <w:p w:rsidR="00C07BAC" w:rsidRDefault="00C07BAC" w:rsidP="00C07BAC">
      <w:pPr>
        <w:pStyle w:val="Paragraphedeliste"/>
        <w:autoSpaceDE w:val="0"/>
        <w:autoSpaceDN w:val="0"/>
        <w:adjustRightInd w:val="0"/>
        <w:spacing w:after="0"/>
        <w:contextualSpacing/>
        <w:jc w:val="both"/>
        <w:rPr>
          <w:rFonts w:ascii="Times New Roman" w:hAnsi="Times New Roman" w:cs="Times New Roman"/>
          <w:b/>
          <w:bCs/>
          <w:u w:val="single"/>
        </w:rPr>
      </w:pPr>
    </w:p>
    <w:p w:rsidR="00C07BAC" w:rsidRPr="000B22C3" w:rsidRDefault="00C07BAC" w:rsidP="00C07BAC">
      <w:pPr>
        <w:pStyle w:val="Paragraphedeliste"/>
        <w:numPr>
          <w:ilvl w:val="0"/>
          <w:numId w:val="6"/>
        </w:numPr>
        <w:autoSpaceDE w:val="0"/>
        <w:autoSpaceDN w:val="0"/>
        <w:adjustRightInd w:val="0"/>
        <w:spacing w:after="0"/>
        <w:contextualSpacing/>
        <w:jc w:val="both"/>
        <w:rPr>
          <w:rFonts w:ascii="Times New Roman" w:hAnsi="Times New Roman" w:cs="Times New Roman"/>
          <w:b/>
          <w:bCs/>
          <w:u w:val="single"/>
        </w:rPr>
      </w:pPr>
      <w:r>
        <w:rPr>
          <w:rFonts w:ascii="Times New Roman" w:hAnsi="Times New Roman" w:cs="Times New Roman"/>
          <w:b/>
          <w:bCs/>
          <w:u w:val="single"/>
        </w:rPr>
        <w:t xml:space="preserve"> </w:t>
      </w:r>
      <w:r w:rsidRPr="000B22C3">
        <w:rPr>
          <w:rFonts w:ascii="Times New Roman" w:hAnsi="Times New Roman" w:cs="Times New Roman"/>
          <w:b/>
          <w:bCs/>
          <w:u w:val="single"/>
        </w:rPr>
        <w:t xml:space="preserve">Origine militaire du concept </w:t>
      </w:r>
    </w:p>
    <w:p w:rsidR="00C07BAC" w:rsidRPr="006B0940" w:rsidRDefault="00C07BAC" w:rsidP="00C07BAC">
      <w:pPr>
        <w:pStyle w:val="Paragraphedeliste"/>
        <w:tabs>
          <w:tab w:val="left" w:pos="993"/>
        </w:tabs>
        <w:spacing w:after="0" w:line="360" w:lineRule="auto"/>
        <w:ind w:left="0"/>
        <w:jc w:val="both"/>
        <w:rPr>
          <w:rFonts w:asciiTheme="majorBidi" w:hAnsiTheme="majorBidi" w:cstheme="majorBidi"/>
          <w:sz w:val="20"/>
          <w:szCs w:val="20"/>
        </w:rPr>
      </w:pPr>
      <w:r w:rsidRPr="006B0940">
        <w:rPr>
          <w:rFonts w:asciiTheme="majorBidi" w:hAnsiTheme="majorBidi" w:cstheme="majorBidi"/>
          <w:sz w:val="20"/>
          <w:szCs w:val="20"/>
        </w:rPr>
        <w:t>Le mot « stratégie » vient du grec stratos qui signifie « armée » et ageîn qui signifie « conduire ».  Dans le domaine militaire la stratégie est l'art de coordonner l'action de l'ensemble des forces de la Nation pour conduire une guerre, gérer une crise ou préserver la paix</w:t>
      </w:r>
    </w:p>
    <w:p w:rsidR="00C07BAC" w:rsidRPr="006B0940" w:rsidRDefault="00C07BAC" w:rsidP="00C07BAC">
      <w:pPr>
        <w:pStyle w:val="Paragraphedeliste"/>
        <w:tabs>
          <w:tab w:val="left" w:pos="993"/>
        </w:tabs>
        <w:spacing w:after="0" w:line="360" w:lineRule="auto"/>
        <w:ind w:left="0"/>
        <w:jc w:val="both"/>
        <w:rPr>
          <w:rFonts w:asciiTheme="majorBidi" w:hAnsiTheme="majorBidi" w:cstheme="majorBidi"/>
          <w:sz w:val="20"/>
          <w:szCs w:val="20"/>
        </w:rPr>
      </w:pPr>
    </w:p>
    <w:p w:rsidR="00C07BAC" w:rsidRPr="006B0940" w:rsidRDefault="00C07BAC" w:rsidP="00C07BAC">
      <w:pPr>
        <w:pStyle w:val="Paragraphedeliste"/>
        <w:tabs>
          <w:tab w:val="left" w:pos="993"/>
        </w:tabs>
        <w:spacing w:after="0" w:line="36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Pr="006B0940">
        <w:rPr>
          <w:rFonts w:asciiTheme="majorBidi" w:hAnsiTheme="majorBidi" w:cstheme="majorBidi"/>
          <w:sz w:val="20"/>
          <w:szCs w:val="20"/>
        </w:rPr>
        <w:t xml:space="preserve"> De ce point de vue la </w:t>
      </w:r>
      <w:r>
        <w:rPr>
          <w:rFonts w:asciiTheme="majorBidi" w:hAnsiTheme="majorBidi" w:cstheme="majorBidi"/>
          <w:sz w:val="20"/>
          <w:szCs w:val="20"/>
        </w:rPr>
        <w:t xml:space="preserve">stratégie </w:t>
      </w:r>
      <w:r w:rsidRPr="006B0940">
        <w:rPr>
          <w:rFonts w:asciiTheme="majorBidi" w:hAnsiTheme="majorBidi" w:cstheme="majorBidi"/>
          <w:sz w:val="20"/>
          <w:szCs w:val="20"/>
        </w:rPr>
        <w:t xml:space="preserve"> est basée sur les principes.</w:t>
      </w:r>
    </w:p>
    <w:p w:rsidR="00C07BAC" w:rsidRPr="006B0940" w:rsidRDefault="00C07BAC" w:rsidP="00C07BAC">
      <w:pPr>
        <w:pStyle w:val="Paragraphedeliste"/>
        <w:tabs>
          <w:tab w:val="left" w:pos="993"/>
        </w:tabs>
        <w:spacing w:after="0" w:line="360" w:lineRule="auto"/>
        <w:ind w:left="0"/>
        <w:jc w:val="both"/>
        <w:rPr>
          <w:rFonts w:asciiTheme="majorBidi" w:hAnsiTheme="majorBidi" w:cstheme="majorBidi"/>
          <w:sz w:val="20"/>
          <w:szCs w:val="20"/>
        </w:rPr>
      </w:pPr>
      <w:r w:rsidRPr="006B0940">
        <w:rPr>
          <w:rFonts w:asciiTheme="majorBidi" w:hAnsiTheme="majorBidi" w:cstheme="majorBidi"/>
          <w:sz w:val="20"/>
          <w:szCs w:val="20"/>
        </w:rPr>
        <w:t xml:space="preserve">  </w:t>
      </w:r>
    </w:p>
    <w:p w:rsidR="00C07BAC" w:rsidRPr="006B0940" w:rsidRDefault="00C07BAC" w:rsidP="00C07BAC">
      <w:pPr>
        <w:pStyle w:val="Paragraphedeliste"/>
        <w:numPr>
          <w:ilvl w:val="0"/>
          <w:numId w:val="3"/>
        </w:numPr>
        <w:tabs>
          <w:tab w:val="left" w:pos="993"/>
        </w:tabs>
        <w:spacing w:after="0" w:line="360" w:lineRule="auto"/>
        <w:jc w:val="both"/>
        <w:rPr>
          <w:rFonts w:asciiTheme="majorBidi" w:hAnsiTheme="majorBidi" w:cstheme="majorBidi"/>
          <w:sz w:val="20"/>
          <w:szCs w:val="20"/>
        </w:rPr>
      </w:pPr>
      <w:r w:rsidRPr="006B0940">
        <w:rPr>
          <w:rFonts w:asciiTheme="majorBidi" w:hAnsiTheme="majorBidi" w:cstheme="majorBidi"/>
          <w:sz w:val="20"/>
          <w:szCs w:val="20"/>
        </w:rPr>
        <w:t>Concentration des forces : choix  d’attaquer le point faible de l’adversaire en mobilisant des forces telles que la victoire soit assurée</w:t>
      </w:r>
      <w:r>
        <w:rPr>
          <w:rFonts w:asciiTheme="majorBidi" w:hAnsiTheme="majorBidi" w:cstheme="majorBidi"/>
          <w:sz w:val="20"/>
          <w:szCs w:val="20"/>
        </w:rPr>
        <w:t>.</w:t>
      </w:r>
    </w:p>
    <w:p w:rsidR="00C07BAC" w:rsidRPr="006B0940" w:rsidRDefault="00C07BAC" w:rsidP="00C07BAC">
      <w:pPr>
        <w:pStyle w:val="Paragraphedeliste"/>
        <w:numPr>
          <w:ilvl w:val="0"/>
          <w:numId w:val="3"/>
        </w:numPr>
        <w:tabs>
          <w:tab w:val="left" w:pos="993"/>
        </w:tabs>
        <w:spacing w:after="0" w:line="360" w:lineRule="auto"/>
        <w:jc w:val="both"/>
        <w:rPr>
          <w:rFonts w:asciiTheme="majorBidi" w:hAnsiTheme="majorBidi" w:cstheme="majorBidi"/>
          <w:sz w:val="20"/>
          <w:szCs w:val="20"/>
        </w:rPr>
      </w:pPr>
      <w:r w:rsidRPr="006B0940">
        <w:rPr>
          <w:rFonts w:asciiTheme="majorBidi" w:hAnsiTheme="majorBidi" w:cstheme="majorBidi"/>
          <w:sz w:val="20"/>
          <w:szCs w:val="20"/>
        </w:rPr>
        <w:t xml:space="preserve">économie des moyens : On ne doit exposer dans l’action que les ressources nécessaires et suffisantes pour atteindre les objectifs fixés. </w:t>
      </w:r>
      <w:r>
        <w:rPr>
          <w:rFonts w:asciiTheme="majorBidi" w:hAnsiTheme="majorBidi" w:cstheme="majorBidi"/>
          <w:sz w:val="20"/>
          <w:szCs w:val="20"/>
        </w:rPr>
        <w:t xml:space="preserve"> </w:t>
      </w:r>
    </w:p>
    <w:p w:rsidR="00C07BAC" w:rsidRPr="006B0940" w:rsidRDefault="00C07BAC" w:rsidP="00C07BAC">
      <w:pPr>
        <w:pStyle w:val="Paragraphedeliste"/>
        <w:numPr>
          <w:ilvl w:val="0"/>
          <w:numId w:val="3"/>
        </w:numPr>
        <w:tabs>
          <w:tab w:val="left" w:pos="993"/>
        </w:tabs>
        <w:spacing w:after="0" w:line="360" w:lineRule="auto"/>
        <w:jc w:val="both"/>
        <w:rPr>
          <w:rFonts w:asciiTheme="majorBidi" w:hAnsiTheme="majorBidi" w:cstheme="majorBidi"/>
          <w:sz w:val="20"/>
          <w:szCs w:val="20"/>
        </w:rPr>
      </w:pPr>
      <w:r w:rsidRPr="006B0940">
        <w:rPr>
          <w:rFonts w:asciiTheme="majorBidi" w:hAnsiTheme="majorBidi" w:cstheme="majorBidi"/>
          <w:sz w:val="20"/>
          <w:szCs w:val="20"/>
        </w:rPr>
        <w:t xml:space="preserve">La  mobilité.  le choix du lieu, du moment et de l’opportunité de combattre. </w:t>
      </w:r>
      <w:r>
        <w:rPr>
          <w:rFonts w:asciiTheme="majorBidi" w:hAnsiTheme="majorBidi" w:cstheme="majorBidi"/>
          <w:sz w:val="20"/>
          <w:szCs w:val="20"/>
        </w:rPr>
        <w:t xml:space="preserve"> </w:t>
      </w:r>
    </w:p>
    <w:p w:rsidR="00C07BAC" w:rsidRPr="006B0940" w:rsidRDefault="00C07BAC" w:rsidP="00C07BAC">
      <w:pPr>
        <w:pStyle w:val="Paragraphedeliste"/>
        <w:tabs>
          <w:tab w:val="left" w:pos="993"/>
        </w:tabs>
        <w:spacing w:after="0" w:line="360" w:lineRule="auto"/>
        <w:ind w:left="0"/>
        <w:jc w:val="both"/>
        <w:rPr>
          <w:rFonts w:asciiTheme="majorBidi" w:hAnsiTheme="majorBidi" w:cstheme="majorBidi"/>
          <w:sz w:val="20"/>
          <w:szCs w:val="20"/>
        </w:rPr>
      </w:pPr>
    </w:p>
    <w:p w:rsidR="00C07BAC" w:rsidRDefault="00C07BAC" w:rsidP="00C07BAC">
      <w:pPr>
        <w:pStyle w:val="Paragraphedeliste"/>
        <w:tabs>
          <w:tab w:val="left" w:pos="993"/>
        </w:tabs>
        <w:spacing w:after="0" w:line="360" w:lineRule="auto"/>
        <w:ind w:left="0"/>
        <w:jc w:val="both"/>
        <w:rPr>
          <w:rFonts w:asciiTheme="majorBidi" w:hAnsiTheme="majorBidi" w:cstheme="majorBidi"/>
          <w:sz w:val="20"/>
          <w:szCs w:val="20"/>
        </w:rPr>
      </w:pPr>
      <w:r w:rsidRPr="006B0940">
        <w:rPr>
          <w:rFonts w:asciiTheme="majorBidi" w:hAnsiTheme="majorBidi" w:cstheme="majorBidi"/>
          <w:sz w:val="20"/>
          <w:szCs w:val="20"/>
        </w:rPr>
        <w:t xml:space="preserve">        C’est par rapport à ces principes que les théoriciens dans le domaine de la gestion ont tenté de définir le concept de stratégie.   Au cours des années </w:t>
      </w:r>
      <w:r>
        <w:rPr>
          <w:rFonts w:asciiTheme="majorBidi" w:hAnsiTheme="majorBidi" w:cstheme="majorBidi"/>
          <w:sz w:val="20"/>
          <w:szCs w:val="20"/>
        </w:rPr>
        <w:t>19</w:t>
      </w:r>
      <w:r w:rsidRPr="006B0940">
        <w:rPr>
          <w:rFonts w:asciiTheme="majorBidi" w:hAnsiTheme="majorBidi" w:cstheme="majorBidi"/>
          <w:sz w:val="20"/>
          <w:szCs w:val="20"/>
        </w:rPr>
        <w:t xml:space="preserve">60.  La stratégie  d’entreprise s’inspire largement de la stratégie militaire. </w:t>
      </w:r>
      <w:r w:rsidRPr="001D78AE">
        <w:rPr>
          <w:rFonts w:asciiTheme="majorBidi" w:hAnsiTheme="majorBidi" w:cstheme="majorBidi"/>
          <w:i/>
          <w:iCs/>
          <w:sz w:val="20"/>
          <w:szCs w:val="20"/>
        </w:rPr>
        <w:t>Les décisions stratégiques portent sur le choix de domaines d’activités dans lequel l’entreprise entent être présente est les moyens  nécessaires pour se maintenir et se développe</w:t>
      </w:r>
      <w:r>
        <w:rPr>
          <w:rFonts w:asciiTheme="majorBidi" w:hAnsiTheme="majorBidi" w:cstheme="majorBidi"/>
          <w:i/>
          <w:iCs/>
          <w:sz w:val="20"/>
          <w:szCs w:val="20"/>
        </w:rPr>
        <w:t>r</w:t>
      </w:r>
      <w:r>
        <w:rPr>
          <w:rStyle w:val="Appelnotedebasdep"/>
          <w:rFonts w:asciiTheme="majorBidi" w:hAnsiTheme="majorBidi" w:cstheme="majorBidi"/>
          <w:i/>
          <w:iCs/>
          <w:sz w:val="20"/>
          <w:szCs w:val="20"/>
        </w:rPr>
        <w:footnoteReference w:id="3"/>
      </w:r>
      <w:r>
        <w:rPr>
          <w:rFonts w:asciiTheme="majorBidi" w:hAnsiTheme="majorBidi" w:cstheme="majorBidi"/>
          <w:sz w:val="20"/>
          <w:szCs w:val="20"/>
        </w:rPr>
        <w:t xml:space="preserve">. La stratégie constitue aussi pour PORTER.M l’art de constituer un avantage concurrentiel  </w:t>
      </w:r>
    </w:p>
    <w:p w:rsidR="00C07BAC" w:rsidRDefault="00C07BAC" w:rsidP="00C07BAC">
      <w:pPr>
        <w:pStyle w:val="Paragraphedeliste"/>
        <w:tabs>
          <w:tab w:val="left" w:pos="993"/>
        </w:tabs>
        <w:spacing w:after="0" w:line="36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Pr="006B0940">
        <w:rPr>
          <w:rFonts w:asciiTheme="majorBidi" w:hAnsiTheme="majorBidi" w:cstheme="majorBidi"/>
          <w:sz w:val="20"/>
          <w:szCs w:val="20"/>
        </w:rPr>
        <w:t xml:space="preserve"> Pour aboutir à ces décisions, le processus d’analyse stratégique consiste à identifier, évaluer et comparer ses forces et faiblesses par rapport à celles des adversaires ; à analyser les évolutions probables de l’environnement pour y déceler des conditions propices (opportunité) ou défavorables à l’action (risques).</w:t>
      </w:r>
    </w:p>
    <w:p w:rsidR="00C07BAC" w:rsidRPr="006B0940" w:rsidRDefault="00C07BAC" w:rsidP="00C07BAC">
      <w:pPr>
        <w:pStyle w:val="Paragraphedeliste"/>
        <w:tabs>
          <w:tab w:val="left" w:pos="993"/>
        </w:tabs>
        <w:spacing w:after="0" w:line="360" w:lineRule="auto"/>
        <w:ind w:left="0"/>
        <w:jc w:val="both"/>
        <w:rPr>
          <w:rFonts w:asciiTheme="majorBidi" w:hAnsiTheme="majorBidi" w:cstheme="majorBidi"/>
          <w:sz w:val="20"/>
          <w:szCs w:val="20"/>
        </w:rPr>
      </w:pPr>
    </w:p>
    <w:p w:rsidR="00C07BAC" w:rsidRPr="005936E1" w:rsidRDefault="00C07BAC" w:rsidP="00C07BAC">
      <w:pPr>
        <w:pStyle w:val="Paragraphedeliste"/>
        <w:numPr>
          <w:ilvl w:val="0"/>
          <w:numId w:val="6"/>
        </w:numPr>
        <w:autoSpaceDE w:val="0"/>
        <w:autoSpaceDN w:val="0"/>
        <w:adjustRightInd w:val="0"/>
        <w:spacing w:after="0" w:line="240" w:lineRule="auto"/>
        <w:contextualSpacing/>
        <w:rPr>
          <w:rFonts w:ascii="TimesNewRomanPS" w:hAnsi="TimesNewRomanPS" w:cs="TimesNewRomanPS"/>
          <w:b/>
          <w:bCs/>
          <w:u w:val="single"/>
        </w:rPr>
      </w:pPr>
      <w:r w:rsidRPr="005936E1">
        <w:rPr>
          <w:rFonts w:asciiTheme="majorBidi" w:hAnsiTheme="majorBidi" w:cstheme="majorBidi"/>
          <w:sz w:val="20"/>
          <w:szCs w:val="20"/>
        </w:rPr>
        <w:t xml:space="preserve">  </w:t>
      </w:r>
      <w:r w:rsidRPr="005936E1">
        <w:rPr>
          <w:rFonts w:ascii="TimesNewRomanPS" w:hAnsi="TimesNewRomanPS" w:cs="TimesNewRomanPS"/>
          <w:b/>
          <w:bCs/>
          <w:u w:val="single"/>
        </w:rPr>
        <w:t xml:space="preserve">Le modèle de   MICHAEL PORTER </w:t>
      </w:r>
    </w:p>
    <w:p w:rsidR="00C07BAC" w:rsidRPr="00E2704F" w:rsidRDefault="00C07BAC" w:rsidP="00C07BAC">
      <w:pPr>
        <w:pStyle w:val="Paragraphedeliste"/>
        <w:tabs>
          <w:tab w:val="left" w:pos="993"/>
        </w:tabs>
        <w:spacing w:after="0" w:line="360" w:lineRule="auto"/>
        <w:ind w:left="0"/>
        <w:jc w:val="both"/>
        <w:rPr>
          <w:rFonts w:asciiTheme="majorBidi" w:hAnsiTheme="majorBidi" w:cstheme="majorBidi"/>
          <w:sz w:val="20"/>
          <w:szCs w:val="20"/>
        </w:rPr>
      </w:pPr>
    </w:p>
    <w:p w:rsidR="00C07BAC" w:rsidRPr="006B0940" w:rsidRDefault="00C07BAC" w:rsidP="00C07BAC">
      <w:pPr>
        <w:pStyle w:val="Paragraphedeliste"/>
        <w:tabs>
          <w:tab w:val="left" w:pos="993"/>
        </w:tabs>
        <w:spacing w:after="0" w:line="360" w:lineRule="auto"/>
        <w:ind w:left="0"/>
        <w:jc w:val="both"/>
        <w:rPr>
          <w:rFonts w:asciiTheme="majorBidi" w:hAnsiTheme="majorBidi" w:cstheme="majorBidi"/>
          <w:sz w:val="20"/>
          <w:szCs w:val="20"/>
        </w:rPr>
      </w:pPr>
      <w:r w:rsidRPr="006B0940">
        <w:rPr>
          <w:rFonts w:asciiTheme="majorBidi" w:hAnsiTheme="majorBidi" w:cstheme="majorBidi"/>
          <w:sz w:val="20"/>
          <w:szCs w:val="20"/>
        </w:rPr>
        <w:t xml:space="preserve">     </w:t>
      </w:r>
      <w:r>
        <w:rPr>
          <w:rFonts w:asciiTheme="majorBidi" w:hAnsiTheme="majorBidi" w:cstheme="majorBidi"/>
          <w:sz w:val="20"/>
          <w:szCs w:val="20"/>
        </w:rPr>
        <w:t xml:space="preserve">  </w:t>
      </w:r>
      <w:r w:rsidRPr="006B0940">
        <w:rPr>
          <w:rFonts w:asciiTheme="majorBidi" w:hAnsiTheme="majorBidi" w:cstheme="majorBidi"/>
          <w:sz w:val="20"/>
          <w:szCs w:val="20"/>
        </w:rPr>
        <w:t xml:space="preserve">  L’objet des décisions stratégiques  étant connus, il reste à présent de savoir le comment, c’est-à-dire quant commence le processus stratégique. Pour MICHAEL PORTER  tout ce joue dans le secteur  auquel appartient l’entreprise. Dans un secteur, l’entreprise a un ou des domaines d’activité  stratégique</w:t>
      </w:r>
      <w:r>
        <w:rPr>
          <w:rFonts w:asciiTheme="majorBidi" w:hAnsiTheme="majorBidi" w:cstheme="majorBidi"/>
          <w:sz w:val="20"/>
          <w:szCs w:val="20"/>
        </w:rPr>
        <w:t xml:space="preserve"> </w:t>
      </w:r>
      <w:r w:rsidRPr="006B0940">
        <w:rPr>
          <w:rFonts w:asciiTheme="majorBidi" w:hAnsiTheme="majorBidi" w:cstheme="majorBidi"/>
          <w:sz w:val="20"/>
          <w:szCs w:val="20"/>
        </w:rPr>
        <w:t xml:space="preserve"> (produit homogènes, marché homogènes et technologie homogène)  son marché, les facteurs de réussite). Donc, la stratégie portera essentiellement sur le choix de ces domaines et les moyens utilisés pour entrer, se maintenir ou se retirer de ceux-ci. On peut ainsi parler de stratégie de positionnement sur le marché et par rapport à des concurrents. Dans un contexte qui est celui de la compétition, comme à la guerre, et sur un champ de bataille appelé marché, l’entreprise la plus performante dans un segment donné est celle qui sait faire face aux différentes menaces car il n y a pas seulement celles des concurrents  </w:t>
      </w:r>
    </w:p>
    <w:p w:rsidR="00C07BAC" w:rsidRPr="009928C2" w:rsidRDefault="00C07BAC" w:rsidP="00C07BAC">
      <w:pPr>
        <w:autoSpaceDE w:val="0"/>
        <w:autoSpaceDN w:val="0"/>
        <w:adjustRightInd w:val="0"/>
        <w:ind w:firstLine="708"/>
        <w:rPr>
          <w:rFonts w:ascii="TimesNewRomanPS" w:hAnsi="TimesNewRomanPS" w:cs="TimesNewRomanPS"/>
          <w:sz w:val="19"/>
          <w:szCs w:val="19"/>
        </w:rPr>
      </w:pPr>
    </w:p>
    <w:p w:rsidR="00C07BAC" w:rsidRDefault="00C07BAC" w:rsidP="00C07BAC">
      <w:pPr>
        <w:autoSpaceDE w:val="0"/>
        <w:autoSpaceDN w:val="0"/>
        <w:adjustRightInd w:val="0"/>
        <w:spacing w:line="240" w:lineRule="auto"/>
        <w:ind w:firstLine="708"/>
        <w:rPr>
          <w:rFonts w:ascii="TimesNewRomanPS" w:hAnsi="TimesNewRomanPS" w:cs="TimesNewRomanPS"/>
        </w:rPr>
      </w:pPr>
    </w:p>
    <w:p w:rsidR="00C07BAC" w:rsidRPr="000B22C3" w:rsidRDefault="00C07BAC" w:rsidP="00C07BAC">
      <w:pPr>
        <w:autoSpaceDE w:val="0"/>
        <w:autoSpaceDN w:val="0"/>
        <w:adjustRightInd w:val="0"/>
        <w:spacing w:line="240" w:lineRule="auto"/>
        <w:ind w:firstLine="708"/>
        <w:jc w:val="both"/>
        <w:rPr>
          <w:rFonts w:ascii="TimesNewRomanPS" w:hAnsi="TimesNewRomanPS" w:cs="TimesNewRomanPS"/>
        </w:rPr>
      </w:pPr>
      <w:r w:rsidRPr="000B22C3">
        <w:rPr>
          <w:rFonts w:ascii="TimesNewRomanPS" w:hAnsi="TimesNewRomanPS" w:cs="TimesNewRomanPS"/>
        </w:rPr>
        <w:t xml:space="preserve">La stratégie   est définie par cet auteur  comme une réponse de l’entreprise aux menaces et aux opportunités qui se forment dans le secteur </w:t>
      </w:r>
      <w:r>
        <w:rPr>
          <w:rStyle w:val="Appelnotedebasdep"/>
          <w:rFonts w:ascii="TimesNewRomanPS" w:hAnsi="TimesNewRomanPS" w:cs="TimesNewRomanPS"/>
        </w:rPr>
        <w:footnoteReference w:id="4"/>
      </w:r>
      <w:r>
        <w:rPr>
          <w:rFonts w:ascii="TimesNewRomanPS" w:hAnsi="TimesNewRomanPS" w:cs="TimesNewRomanPS"/>
        </w:rPr>
        <w:t xml:space="preserve"> </w:t>
      </w:r>
      <w:r w:rsidRPr="000B22C3">
        <w:rPr>
          <w:rFonts w:ascii="TimesNewRomanPS" w:hAnsi="TimesNewRomanPS" w:cs="TimesNewRomanPS"/>
        </w:rPr>
        <w:t xml:space="preserve">dans lequel </w:t>
      </w:r>
      <w:r>
        <w:rPr>
          <w:rFonts w:ascii="TimesNewRomanPS" w:hAnsi="TimesNewRomanPS" w:cs="TimesNewRomanPS"/>
        </w:rPr>
        <w:t xml:space="preserve"> elle est </w:t>
      </w:r>
      <w:r w:rsidRPr="000B22C3">
        <w:rPr>
          <w:rFonts w:ascii="TimesNewRomanPS" w:hAnsi="TimesNewRomanPS" w:cs="TimesNewRomanPS"/>
        </w:rPr>
        <w:t xml:space="preserve"> présente. </w:t>
      </w:r>
      <w:r>
        <w:rPr>
          <w:rFonts w:ascii="TimesNewRomanPS" w:hAnsi="TimesNewRomanPS" w:cs="TimesNewRomanPS"/>
        </w:rPr>
        <w:t xml:space="preserve">   Ces menaces limitent les capacités des   de l’entreprise à déterminer les prix qui constituent un élément crucial pour sa rentabilité et son développement. </w:t>
      </w:r>
      <w:r w:rsidRPr="000B22C3">
        <w:rPr>
          <w:rFonts w:ascii="TimesNewRomanPS" w:hAnsi="TimesNewRomanPS" w:cs="TimesNewRomanPS"/>
        </w:rPr>
        <w:t xml:space="preserve"> </w:t>
      </w:r>
    </w:p>
    <w:p w:rsidR="00C07BAC" w:rsidRPr="00606A49" w:rsidRDefault="00C07BAC" w:rsidP="00C07BAC">
      <w:pPr>
        <w:autoSpaceDE w:val="0"/>
        <w:autoSpaceDN w:val="0"/>
        <w:adjustRightInd w:val="0"/>
        <w:ind w:firstLine="708"/>
        <w:jc w:val="both"/>
        <w:rPr>
          <w:rFonts w:asciiTheme="majorBidi" w:hAnsiTheme="majorBidi" w:cstheme="majorBidi"/>
        </w:rPr>
      </w:pPr>
      <w:r w:rsidRPr="00606A49">
        <w:rPr>
          <w:rFonts w:asciiTheme="majorBidi" w:hAnsiTheme="majorBidi" w:cstheme="majorBidi"/>
          <w:b/>
          <w:bCs/>
          <w:u w:val="single"/>
        </w:rPr>
        <w:t xml:space="preserve"> </w:t>
      </w:r>
      <w:r>
        <w:rPr>
          <w:rFonts w:asciiTheme="majorBidi" w:hAnsiTheme="majorBidi" w:cstheme="majorBidi"/>
        </w:rPr>
        <w:t xml:space="preserve"> </w:t>
      </w:r>
      <w:r w:rsidRPr="00606A49">
        <w:rPr>
          <w:rFonts w:asciiTheme="majorBidi" w:hAnsiTheme="majorBidi" w:cstheme="majorBidi"/>
        </w:rPr>
        <w:t xml:space="preserve"> </w:t>
      </w:r>
      <w:r w:rsidRPr="00606A49">
        <w:rPr>
          <w:rFonts w:asciiTheme="majorBidi" w:hAnsiTheme="majorBidi" w:cstheme="majorBidi"/>
          <w:b/>
          <w:bCs/>
        </w:rPr>
        <w:t>L’intensité de la concurrence entre entreprises du secteur :</w:t>
      </w:r>
      <w:r w:rsidRPr="00606A49">
        <w:rPr>
          <w:rFonts w:asciiTheme="majorBidi" w:hAnsiTheme="majorBidi" w:cstheme="majorBidi"/>
        </w:rPr>
        <w:t xml:space="preserve"> Au sein d’un secteur la concurrence entre firmes détermine l’attrait pour le secteur. Les entreprises luttent pour maintenir leur rapport de force. La concurrence évolue en fonction du développement du secteur, de la diversité ou de l’existence de barrières à l’entrée. En plus il s’agit d’une analyse du nombre de concurrents, des produits, de l’identité des marques, des forces et faiblesses, des stratégies, des parts de marché, …. </w:t>
      </w:r>
    </w:p>
    <w:p w:rsidR="00C07BAC" w:rsidRPr="00606A49" w:rsidRDefault="00C07BAC" w:rsidP="00C07BAC">
      <w:pPr>
        <w:pStyle w:val="Paragraphedeliste"/>
        <w:numPr>
          <w:ilvl w:val="0"/>
          <w:numId w:val="2"/>
        </w:numPr>
        <w:autoSpaceDE w:val="0"/>
        <w:autoSpaceDN w:val="0"/>
        <w:adjustRightInd w:val="0"/>
        <w:spacing w:after="0"/>
        <w:contextualSpacing/>
        <w:jc w:val="both"/>
        <w:rPr>
          <w:rFonts w:asciiTheme="majorBidi" w:hAnsiTheme="majorBidi" w:cstheme="majorBidi"/>
        </w:rPr>
      </w:pPr>
      <w:r w:rsidRPr="00606A49">
        <w:rPr>
          <w:rFonts w:asciiTheme="majorBidi" w:hAnsiTheme="majorBidi" w:cstheme="majorBidi"/>
          <w:b/>
          <w:bCs/>
        </w:rPr>
        <w:t>La menace de nouveaux entrants</w:t>
      </w:r>
      <w:r w:rsidRPr="00606A49">
        <w:rPr>
          <w:rFonts w:asciiTheme="majorBidi" w:hAnsiTheme="majorBidi" w:cstheme="majorBidi"/>
        </w:rPr>
        <w:t xml:space="preserve"> : Toute entreprise a intérêt à créer autour d’elle des barrières d’entrée pour ne pas voir arriver une multitude de concurrents. Il s’agit soit de nouvelles entreprises soit de firmes ayant l’intention de se diversifier. Ces barrières peuvent être légales (brevets, réglementations, …), industrielles (produits ou marque unique, …), …. L’arrivée de nouveaux entrants dépend donc aussi de l’ampleur du marché (économie d’échelle), de la réputation d’une entreprise déjà installée, du coût d’entrée, de l’accès aux matières premières nécessaires, des standards techniques, des barrières culturelles, …. La menace de produits de substitution :</w:t>
      </w:r>
    </w:p>
    <w:p w:rsidR="00C07BAC" w:rsidRPr="00606A49" w:rsidRDefault="00C07BAC" w:rsidP="00C07BAC">
      <w:pPr>
        <w:pStyle w:val="Paragraphedeliste"/>
        <w:numPr>
          <w:ilvl w:val="0"/>
          <w:numId w:val="2"/>
        </w:numPr>
        <w:autoSpaceDE w:val="0"/>
        <w:autoSpaceDN w:val="0"/>
        <w:adjustRightInd w:val="0"/>
        <w:spacing w:after="0"/>
        <w:contextualSpacing/>
        <w:jc w:val="both"/>
        <w:rPr>
          <w:rFonts w:asciiTheme="majorBidi" w:hAnsiTheme="majorBidi" w:cstheme="majorBidi"/>
        </w:rPr>
      </w:pPr>
      <w:r w:rsidRPr="00606A49">
        <w:rPr>
          <w:rFonts w:asciiTheme="majorBidi" w:hAnsiTheme="majorBidi" w:cstheme="majorBidi"/>
        </w:rPr>
        <w:t xml:space="preserve">  </w:t>
      </w:r>
      <w:r w:rsidRPr="00606A49">
        <w:rPr>
          <w:rFonts w:asciiTheme="majorBidi" w:hAnsiTheme="majorBidi" w:cstheme="majorBidi"/>
          <w:b/>
          <w:bCs/>
        </w:rPr>
        <w:t>Les produits de substitution</w:t>
      </w:r>
      <w:r w:rsidRPr="00606A49">
        <w:rPr>
          <w:rFonts w:asciiTheme="majorBidi" w:hAnsiTheme="majorBidi" w:cstheme="majorBidi"/>
        </w:rPr>
        <w:t xml:space="preserve"> peuvent être considérés comme une alternative par rapport à l’offre du marché. Ces produits sont dus à l’évolution de l’état de la technologie ou à l’innovation. </w:t>
      </w:r>
      <w:r>
        <w:rPr>
          <w:rFonts w:asciiTheme="majorBidi" w:hAnsiTheme="majorBidi" w:cstheme="majorBidi"/>
        </w:rPr>
        <w:t xml:space="preserve"> </w:t>
      </w:r>
    </w:p>
    <w:p w:rsidR="00C07BAC" w:rsidRPr="00606A49" w:rsidRDefault="00C07BAC" w:rsidP="00C07BAC">
      <w:pPr>
        <w:pStyle w:val="Paragraphedeliste"/>
        <w:numPr>
          <w:ilvl w:val="0"/>
          <w:numId w:val="2"/>
        </w:numPr>
        <w:autoSpaceDE w:val="0"/>
        <w:autoSpaceDN w:val="0"/>
        <w:adjustRightInd w:val="0"/>
        <w:spacing w:after="0"/>
        <w:contextualSpacing/>
        <w:jc w:val="both"/>
        <w:rPr>
          <w:rFonts w:asciiTheme="majorBidi" w:hAnsiTheme="majorBidi" w:cstheme="majorBidi"/>
        </w:rPr>
      </w:pPr>
      <w:r w:rsidRPr="00606A49">
        <w:rPr>
          <w:rFonts w:asciiTheme="majorBidi" w:hAnsiTheme="majorBidi" w:cstheme="majorBidi"/>
          <w:b/>
          <w:bCs/>
        </w:rPr>
        <w:t>Le pouvoir de négociation des fournisseurs</w:t>
      </w:r>
      <w:r w:rsidRPr="00606A49">
        <w:rPr>
          <w:rFonts w:asciiTheme="majorBidi" w:hAnsiTheme="majorBidi" w:cstheme="majorBidi"/>
        </w:rPr>
        <w:t xml:space="preserve"> : Le pouvoir de négociation des fournisseurs est très important sur un marché. Des fournisseurs puissants peuvent imposer leurs conditions en termes de prix, de qualité et de quantité. </w:t>
      </w:r>
      <w:r>
        <w:rPr>
          <w:rFonts w:asciiTheme="majorBidi" w:hAnsiTheme="majorBidi" w:cstheme="majorBidi"/>
        </w:rPr>
        <w:t xml:space="preserve"> </w:t>
      </w:r>
      <w:r w:rsidRPr="00606A49">
        <w:rPr>
          <w:rFonts w:asciiTheme="majorBidi" w:hAnsiTheme="majorBidi" w:cstheme="majorBidi"/>
        </w:rPr>
        <w:t xml:space="preserve"> Il </w:t>
      </w:r>
      <w:r>
        <w:rPr>
          <w:rFonts w:asciiTheme="majorBidi" w:hAnsiTheme="majorBidi" w:cstheme="majorBidi"/>
        </w:rPr>
        <w:t xml:space="preserve">est important pour une entreprise </w:t>
      </w:r>
      <w:r w:rsidRPr="00606A49">
        <w:rPr>
          <w:rFonts w:asciiTheme="majorBidi" w:hAnsiTheme="majorBidi" w:cstheme="majorBidi"/>
        </w:rPr>
        <w:t xml:space="preserve"> </w:t>
      </w:r>
      <w:r>
        <w:rPr>
          <w:rFonts w:asciiTheme="majorBidi" w:hAnsiTheme="majorBidi" w:cstheme="majorBidi"/>
        </w:rPr>
        <w:t>d’</w:t>
      </w:r>
      <w:r w:rsidRPr="00606A49">
        <w:rPr>
          <w:rFonts w:asciiTheme="majorBidi" w:hAnsiTheme="majorBidi" w:cstheme="majorBidi"/>
        </w:rPr>
        <w:t xml:space="preserve">analyser le nombre de commandes réalisées, le coût de changement de fournisseurs, la présence de matières premières de substitution, …. </w:t>
      </w:r>
    </w:p>
    <w:p w:rsidR="00C07BAC" w:rsidRPr="00606A49" w:rsidRDefault="00C07BAC" w:rsidP="00C07BAC">
      <w:pPr>
        <w:pStyle w:val="Paragraphedeliste"/>
        <w:numPr>
          <w:ilvl w:val="0"/>
          <w:numId w:val="2"/>
        </w:numPr>
        <w:autoSpaceDE w:val="0"/>
        <w:autoSpaceDN w:val="0"/>
        <w:adjustRightInd w:val="0"/>
        <w:spacing w:after="0"/>
        <w:contextualSpacing/>
        <w:jc w:val="both"/>
        <w:rPr>
          <w:rFonts w:asciiTheme="majorBidi" w:hAnsiTheme="majorBidi" w:cstheme="majorBidi"/>
        </w:rPr>
      </w:pPr>
      <w:r w:rsidRPr="00606A49">
        <w:rPr>
          <w:rFonts w:asciiTheme="majorBidi" w:hAnsiTheme="majorBidi" w:cstheme="majorBidi"/>
          <w:b/>
          <w:bCs/>
        </w:rPr>
        <w:t>Le pouvoir de négociation des clients</w:t>
      </w:r>
      <w:r w:rsidRPr="00606A49">
        <w:rPr>
          <w:rFonts w:asciiTheme="majorBidi" w:hAnsiTheme="majorBidi" w:cstheme="majorBidi"/>
        </w:rPr>
        <w:t xml:space="preserve"> : Si le pouvoir de négociation des clients est élevé, ils influencent la rentabilité du marché en imposant leurs exigences en matière de prix, de service, de qualité, …. </w:t>
      </w:r>
      <w:r>
        <w:rPr>
          <w:rFonts w:asciiTheme="majorBidi" w:hAnsiTheme="majorBidi" w:cstheme="majorBidi"/>
        </w:rPr>
        <w:t xml:space="preserve"> </w:t>
      </w:r>
    </w:p>
    <w:p w:rsidR="00C07BAC" w:rsidRPr="00606A49" w:rsidRDefault="00C07BAC" w:rsidP="00C07BAC">
      <w:pPr>
        <w:autoSpaceDE w:val="0"/>
        <w:autoSpaceDN w:val="0"/>
        <w:adjustRightInd w:val="0"/>
        <w:jc w:val="both"/>
        <w:rPr>
          <w:rFonts w:asciiTheme="majorBidi" w:hAnsiTheme="majorBidi" w:cstheme="majorBidi"/>
        </w:rPr>
      </w:pPr>
      <w:r w:rsidRPr="00606A49">
        <w:rPr>
          <w:rFonts w:asciiTheme="majorBidi" w:hAnsiTheme="majorBidi" w:cstheme="majorBidi"/>
        </w:rPr>
        <w:t>Souvent le modèle est complété par une 6</w:t>
      </w:r>
      <w:r w:rsidRPr="008C1044">
        <w:rPr>
          <w:rFonts w:asciiTheme="majorBidi" w:hAnsiTheme="majorBidi" w:cstheme="majorBidi"/>
          <w:vertAlign w:val="superscript"/>
        </w:rPr>
        <w:t>ième</w:t>
      </w:r>
      <w:r>
        <w:rPr>
          <w:rFonts w:asciiTheme="majorBidi" w:hAnsiTheme="majorBidi" w:cstheme="majorBidi"/>
        </w:rPr>
        <w:t xml:space="preserve"> </w:t>
      </w:r>
      <w:r w:rsidRPr="00606A49">
        <w:rPr>
          <w:rFonts w:asciiTheme="majorBidi" w:hAnsiTheme="majorBidi" w:cstheme="majorBidi"/>
        </w:rPr>
        <w:t xml:space="preserve">force, </w:t>
      </w:r>
      <w:r w:rsidRPr="00606A49">
        <w:rPr>
          <w:rFonts w:asciiTheme="majorBidi" w:hAnsiTheme="majorBidi" w:cstheme="majorBidi"/>
          <w:u w:val="single"/>
        </w:rPr>
        <w:t>les pouvoirs publics</w:t>
      </w:r>
      <w:r w:rsidRPr="00606A49">
        <w:rPr>
          <w:rFonts w:asciiTheme="majorBidi" w:hAnsiTheme="majorBidi" w:cstheme="majorBidi"/>
        </w:rPr>
        <w:t xml:space="preserve">. C’est un élément important car la législation et les normes peuvent influencer chacune des 5 forces de Porter. </w:t>
      </w:r>
      <w:r>
        <w:rPr>
          <w:rFonts w:asciiTheme="majorBidi" w:hAnsiTheme="majorBidi" w:cstheme="majorBidi"/>
        </w:rPr>
        <w:t xml:space="preserve"> </w:t>
      </w:r>
    </w:p>
    <w:p w:rsidR="00C07BAC" w:rsidRPr="005936E1" w:rsidRDefault="00C07BAC" w:rsidP="00C07BAC">
      <w:pPr>
        <w:pStyle w:val="Paragraphedeliste"/>
        <w:numPr>
          <w:ilvl w:val="0"/>
          <w:numId w:val="6"/>
        </w:numPr>
        <w:autoSpaceDE w:val="0"/>
        <w:autoSpaceDN w:val="0"/>
        <w:adjustRightInd w:val="0"/>
        <w:spacing w:after="0" w:line="360" w:lineRule="auto"/>
        <w:contextualSpacing/>
        <w:jc w:val="both"/>
        <w:rPr>
          <w:rFonts w:asciiTheme="majorBidi" w:hAnsiTheme="majorBidi" w:cstheme="majorBidi"/>
          <w:b/>
          <w:bCs/>
        </w:rPr>
      </w:pPr>
      <w:r w:rsidRPr="005936E1">
        <w:rPr>
          <w:rFonts w:asciiTheme="majorBidi" w:hAnsiTheme="majorBidi" w:cstheme="majorBidi"/>
          <w:b/>
          <w:bCs/>
        </w:rPr>
        <w:t xml:space="preserve"> L’analyse stratégique  </w:t>
      </w:r>
    </w:p>
    <w:p w:rsidR="00C07BAC" w:rsidRDefault="00C07BAC" w:rsidP="00C07BAC">
      <w:pPr>
        <w:autoSpaceDE w:val="0"/>
        <w:autoSpaceDN w:val="0"/>
        <w:adjustRightInd w:val="0"/>
        <w:jc w:val="both"/>
        <w:rPr>
          <w:rFonts w:ascii="TimesNewRomanPS" w:hAnsi="TimesNewRomanPS" w:cs="TimesNewRomanPS"/>
        </w:rPr>
      </w:pPr>
      <w:r w:rsidRPr="00D81363">
        <w:rPr>
          <w:rFonts w:ascii="TimesNewRomanPS" w:hAnsi="TimesNewRomanPS" w:cs="TimesNewRomanPS"/>
        </w:rPr>
        <w:t>L</w:t>
      </w:r>
      <w:r>
        <w:rPr>
          <w:rFonts w:ascii="TimesNewRomanPS" w:hAnsi="TimesNewRomanPS" w:cs="TimesNewRomanPS"/>
        </w:rPr>
        <w:t xml:space="preserve">’analyse  </w:t>
      </w:r>
      <w:r w:rsidRPr="00D81363">
        <w:rPr>
          <w:rFonts w:ascii="TimesNewRomanPS" w:hAnsi="TimesNewRomanPS" w:cs="TimesNewRomanPS"/>
        </w:rPr>
        <w:t xml:space="preserve"> stratégique constitue la 1</w:t>
      </w:r>
      <w:r w:rsidRPr="00D81363">
        <w:rPr>
          <w:rFonts w:ascii="TimesNewRomanPS" w:hAnsi="TimesNewRomanPS" w:cs="TimesNewRomanPS"/>
          <w:vertAlign w:val="superscript"/>
        </w:rPr>
        <w:t>ère</w:t>
      </w:r>
      <w:r>
        <w:rPr>
          <w:rFonts w:ascii="TimesNewRomanPS" w:hAnsi="TimesNewRomanPS" w:cs="TimesNewRomanPS"/>
        </w:rPr>
        <w:t xml:space="preserve"> </w:t>
      </w:r>
      <w:r w:rsidRPr="00D81363">
        <w:rPr>
          <w:rFonts w:ascii="TimesNewRomanPS" w:hAnsi="TimesNewRomanPS" w:cs="TimesNewRomanPS"/>
        </w:rPr>
        <w:t>étape du processus d’élaboration de la stratégie de l’entreprise. Il consiste</w:t>
      </w:r>
      <w:r>
        <w:rPr>
          <w:rFonts w:ascii="TimesNewRomanPS" w:hAnsi="TimesNewRomanPS" w:cs="TimesNewRomanPS"/>
        </w:rPr>
        <w:t xml:space="preserve"> d’une part </w:t>
      </w:r>
      <w:r w:rsidRPr="00D81363">
        <w:rPr>
          <w:rFonts w:ascii="TimesNewRomanPS" w:hAnsi="TimesNewRomanPS" w:cs="TimesNewRomanPS"/>
        </w:rPr>
        <w:t>à identifier et à structurer les problèmes, à repérer les menaces et les opportunités que présente l’environnement</w:t>
      </w:r>
      <w:r>
        <w:rPr>
          <w:rFonts w:ascii="TimesNewRomanPS" w:hAnsi="TimesNewRomanPS" w:cs="TimesNewRomanPS"/>
        </w:rPr>
        <w:t xml:space="preserve">  et d’autre part à comprendre les forces internes et les faiblesses liées à la gestion de l’entreprise, à ses ressources disponibles qui doivent être  </w:t>
      </w:r>
      <w:r w:rsidRPr="000B0770">
        <w:rPr>
          <w:rFonts w:ascii="TimesNewRomanPS" w:hAnsi="TimesNewRomanPS" w:cs="TimesNewRomanPS"/>
        </w:rPr>
        <w:t>évaluées et comparées à celles des principaux concurrents</w:t>
      </w:r>
      <w:r>
        <w:rPr>
          <w:rFonts w:ascii="TimesNewRomanPS" w:hAnsi="TimesNewRomanPS" w:cs="TimesNewRomanPS"/>
        </w:rPr>
        <w:t xml:space="preserve"> etc.  </w:t>
      </w:r>
    </w:p>
    <w:p w:rsidR="00C07BAC" w:rsidRDefault="00C07BAC" w:rsidP="00C07BAC">
      <w:pPr>
        <w:pStyle w:val="Paragraphedeliste"/>
        <w:numPr>
          <w:ilvl w:val="0"/>
          <w:numId w:val="7"/>
        </w:numPr>
        <w:autoSpaceDE w:val="0"/>
        <w:autoSpaceDN w:val="0"/>
        <w:adjustRightInd w:val="0"/>
        <w:rPr>
          <w:rFonts w:ascii="TimesNewRomanPS" w:hAnsi="TimesNewRomanPS" w:cs="TimesNewRomanPS"/>
        </w:rPr>
      </w:pPr>
      <w:r w:rsidRPr="00D81363">
        <w:rPr>
          <w:rFonts w:ascii="TimesNewRomanPS" w:hAnsi="TimesNewRomanPS" w:cs="TimesNewRomanPS"/>
          <w:b/>
          <w:bCs/>
        </w:rPr>
        <w:t>L’analyse externe</w:t>
      </w:r>
      <w:r w:rsidRPr="00D81363">
        <w:rPr>
          <w:rFonts w:ascii="TimesNewRomanPS" w:hAnsi="TimesNewRomanPS" w:cs="TimesNewRomanPS"/>
        </w:rPr>
        <w:t xml:space="preserve"> où sont explorés les facteurs  environnementaux structurels et l’analyse interne où les ressources propres à la firme sont.</w:t>
      </w:r>
    </w:p>
    <w:p w:rsidR="00C07BAC" w:rsidRPr="00426D40" w:rsidRDefault="00C07BAC" w:rsidP="00C07BAC">
      <w:pPr>
        <w:pStyle w:val="Paragraphedeliste"/>
        <w:autoSpaceDE w:val="0"/>
        <w:autoSpaceDN w:val="0"/>
        <w:adjustRightInd w:val="0"/>
        <w:ind w:left="142"/>
        <w:jc w:val="both"/>
        <w:rPr>
          <w:rFonts w:asciiTheme="majorBidi" w:hAnsiTheme="majorBidi" w:cstheme="majorBidi"/>
        </w:rPr>
      </w:pPr>
      <w:r w:rsidRPr="00747711">
        <w:rPr>
          <w:rFonts w:asciiTheme="majorBidi" w:hAnsiTheme="majorBidi" w:cstheme="majorBidi"/>
          <w:b/>
          <w:bCs/>
        </w:rPr>
        <w:t xml:space="preserve"> </w:t>
      </w:r>
      <w:r w:rsidRPr="00747711">
        <w:rPr>
          <w:rFonts w:asciiTheme="majorBidi" w:hAnsiTheme="majorBidi" w:cstheme="majorBidi"/>
          <w:i/>
          <w:iCs/>
          <w:u w:val="single"/>
        </w:rPr>
        <w:t xml:space="preserve"> </w:t>
      </w:r>
      <w:r w:rsidRPr="00747711">
        <w:rPr>
          <w:rFonts w:asciiTheme="majorBidi" w:hAnsiTheme="majorBidi" w:cstheme="majorBidi"/>
          <w:u w:val="single"/>
        </w:rPr>
        <w:t>Facteurs politiques</w:t>
      </w:r>
      <w:r w:rsidRPr="00747711">
        <w:rPr>
          <w:rFonts w:asciiTheme="majorBidi" w:hAnsiTheme="majorBidi" w:cstheme="majorBidi"/>
        </w:rPr>
        <w:t>: lois sur les monopoles, sur la protection de l’environnement, politique fiscale, régulation du commerce extérieur, droit du travail, stabilité gouvernementale, etc.</w:t>
      </w:r>
      <w:r>
        <w:rPr>
          <w:rFonts w:asciiTheme="majorBidi" w:hAnsiTheme="majorBidi" w:cstheme="majorBidi"/>
        </w:rPr>
        <w:t xml:space="preserve"> </w:t>
      </w:r>
      <w:r w:rsidRPr="00426D40">
        <w:rPr>
          <w:rFonts w:asciiTheme="majorBidi" w:hAnsiTheme="majorBidi" w:cstheme="majorBidi"/>
        </w:rPr>
        <w:t xml:space="preserve"> </w:t>
      </w:r>
      <w:r w:rsidRPr="00426D40">
        <w:rPr>
          <w:rFonts w:asciiTheme="majorBidi" w:hAnsiTheme="majorBidi" w:cstheme="majorBidi"/>
          <w:u w:val="single"/>
        </w:rPr>
        <w:t>Facteurs économiques</w:t>
      </w:r>
      <w:r w:rsidRPr="00426D40">
        <w:rPr>
          <w:rFonts w:asciiTheme="majorBidi" w:hAnsiTheme="majorBidi" w:cstheme="majorBidi"/>
        </w:rPr>
        <w:t>: Cycles économiques, évolution du PNB, taux d’intérêt, politique monétaire, inflation, chômage, revenu disponible, disponibilité et coût de l’énergie, etc.</w:t>
      </w:r>
      <w:r>
        <w:rPr>
          <w:rFonts w:asciiTheme="majorBidi" w:hAnsiTheme="majorBidi" w:cstheme="majorBidi"/>
        </w:rPr>
        <w:t xml:space="preserve"> </w:t>
      </w:r>
      <w:r w:rsidRPr="00426D40">
        <w:rPr>
          <w:rFonts w:asciiTheme="majorBidi" w:hAnsiTheme="majorBidi" w:cstheme="majorBidi"/>
        </w:rPr>
        <w:t xml:space="preserve"> </w:t>
      </w:r>
      <w:r w:rsidRPr="00426D40">
        <w:rPr>
          <w:rFonts w:asciiTheme="majorBidi" w:hAnsiTheme="majorBidi" w:cstheme="majorBidi"/>
          <w:u w:val="single"/>
        </w:rPr>
        <w:t>Socioculturel</w:t>
      </w:r>
      <w:r w:rsidRPr="00426D40">
        <w:rPr>
          <w:rFonts w:asciiTheme="majorBidi" w:hAnsiTheme="majorBidi" w:cstheme="majorBidi"/>
          <w:b/>
          <w:bCs/>
        </w:rPr>
        <w:t xml:space="preserve"> </w:t>
      </w:r>
      <w:r w:rsidRPr="00426D40">
        <w:rPr>
          <w:rFonts w:asciiTheme="majorBidi" w:hAnsiTheme="majorBidi" w:cstheme="majorBidi"/>
        </w:rPr>
        <w:t xml:space="preserve">: Démographie, distribution des revenus, mobilité sociale, changements de modes de vie, attitudes par rapport au travail, niveau d’éducation, etc. </w:t>
      </w:r>
      <w:r w:rsidRPr="00426D40">
        <w:rPr>
          <w:rFonts w:asciiTheme="majorBidi" w:hAnsiTheme="majorBidi" w:cstheme="majorBidi"/>
          <w:u w:val="single"/>
        </w:rPr>
        <w:t xml:space="preserve"> Technologique</w:t>
      </w:r>
      <w:r w:rsidRPr="00426D40">
        <w:rPr>
          <w:rFonts w:asciiTheme="majorBidi" w:hAnsiTheme="majorBidi" w:cstheme="majorBidi"/>
        </w:rPr>
        <w:t>: Dépense publique en R&amp;D, investissements publics et privés sur la technologie, nouvelles découvertes, vitesse de transfert technologique, taux d’obsolescence, etc.</w:t>
      </w:r>
    </w:p>
    <w:p w:rsidR="00C07BAC" w:rsidRPr="00D81363" w:rsidRDefault="00C07BAC" w:rsidP="00C07BAC">
      <w:pPr>
        <w:pStyle w:val="Paragraphedeliste"/>
        <w:numPr>
          <w:ilvl w:val="0"/>
          <w:numId w:val="7"/>
        </w:numPr>
        <w:autoSpaceDE w:val="0"/>
        <w:autoSpaceDN w:val="0"/>
        <w:adjustRightInd w:val="0"/>
        <w:spacing w:line="240" w:lineRule="auto"/>
        <w:jc w:val="both"/>
        <w:rPr>
          <w:rFonts w:asciiTheme="majorBidi" w:hAnsiTheme="majorBidi" w:cstheme="majorBidi"/>
          <w:b/>
          <w:bCs/>
        </w:rPr>
      </w:pPr>
      <w:r w:rsidRPr="00D81363">
        <w:rPr>
          <w:rFonts w:asciiTheme="majorBidi" w:hAnsiTheme="majorBidi" w:cstheme="majorBidi"/>
          <w:b/>
          <w:bCs/>
        </w:rPr>
        <w:t xml:space="preserve">L’analyse interne </w:t>
      </w:r>
    </w:p>
    <w:p w:rsidR="00C07BAC" w:rsidRPr="00A17C18" w:rsidRDefault="00C07BAC" w:rsidP="00C07BAC">
      <w:pPr>
        <w:autoSpaceDE w:val="0"/>
        <w:autoSpaceDN w:val="0"/>
        <w:adjustRightInd w:val="0"/>
        <w:ind w:firstLine="708"/>
        <w:jc w:val="both"/>
        <w:rPr>
          <w:rFonts w:asciiTheme="majorBidi" w:hAnsiTheme="majorBidi" w:cstheme="majorBidi"/>
        </w:rPr>
      </w:pPr>
      <w:r w:rsidRPr="00426D40">
        <w:rPr>
          <w:rFonts w:asciiTheme="majorBidi" w:hAnsiTheme="majorBidi" w:cstheme="majorBidi"/>
        </w:rPr>
        <w:t>Dans l’analyse interne, il e</w:t>
      </w:r>
      <w:r>
        <w:rPr>
          <w:rFonts w:asciiTheme="majorBidi" w:hAnsiTheme="majorBidi" w:cstheme="majorBidi"/>
        </w:rPr>
        <w:t>xiste plusieurs outils</w:t>
      </w:r>
      <w:r w:rsidRPr="00426D40">
        <w:rPr>
          <w:rFonts w:asciiTheme="majorBidi" w:hAnsiTheme="majorBidi" w:cstheme="majorBidi"/>
        </w:rPr>
        <w:t xml:space="preserve">   MICHAEL PORTER propose un modèle</w:t>
      </w:r>
      <w:r>
        <w:rPr>
          <w:rFonts w:asciiTheme="majorBidi" w:hAnsiTheme="majorBidi" w:cstheme="majorBidi"/>
        </w:rPr>
        <w:t xml:space="preserve"> appelé chaine de valeur ou sera analysé </w:t>
      </w:r>
      <w:r w:rsidRPr="00426D40">
        <w:rPr>
          <w:rFonts w:asciiTheme="majorBidi" w:hAnsiTheme="majorBidi" w:cstheme="majorBidi"/>
        </w:rPr>
        <w:t xml:space="preserve"> </w:t>
      </w:r>
      <w:r>
        <w:rPr>
          <w:rFonts w:asciiTheme="majorBidi" w:hAnsiTheme="majorBidi" w:cstheme="majorBidi"/>
          <w:color w:val="000000" w:themeColor="text1"/>
        </w:rPr>
        <w:t xml:space="preserve">les </w:t>
      </w:r>
      <w:r w:rsidRPr="00426D40">
        <w:rPr>
          <w:rFonts w:asciiTheme="majorBidi" w:hAnsiTheme="majorBidi" w:cstheme="majorBidi"/>
          <w:color w:val="000000" w:themeColor="text1"/>
        </w:rPr>
        <w:t xml:space="preserve"> activités spécifiques par lesquelles les sociétés peuvent </w:t>
      </w:r>
      <w:r w:rsidRPr="00426D40">
        <w:rPr>
          <w:rFonts w:asciiTheme="majorBidi" w:hAnsiTheme="majorBidi" w:cstheme="majorBidi"/>
          <w:b/>
          <w:bCs/>
          <w:color w:val="000000" w:themeColor="text1"/>
        </w:rPr>
        <w:t xml:space="preserve">créer de la valeur </w:t>
      </w:r>
      <w:r w:rsidRPr="00426D40">
        <w:rPr>
          <w:rFonts w:asciiTheme="majorBidi" w:hAnsiTheme="majorBidi" w:cstheme="majorBidi"/>
          <w:color w:val="000000" w:themeColor="text1"/>
        </w:rPr>
        <w:t xml:space="preserve">et </w:t>
      </w:r>
      <w:r w:rsidRPr="00426D40">
        <w:rPr>
          <w:rFonts w:asciiTheme="majorBidi" w:hAnsiTheme="majorBidi" w:cstheme="majorBidi"/>
          <w:b/>
          <w:bCs/>
          <w:color w:val="000000" w:themeColor="text1"/>
        </w:rPr>
        <w:t>dégager un avantage concurrentiel</w:t>
      </w:r>
      <w:r w:rsidRPr="00426D40">
        <w:rPr>
          <w:rFonts w:asciiTheme="majorBidi" w:hAnsiTheme="majorBidi" w:cstheme="majorBidi"/>
        </w:rPr>
        <w:t xml:space="preserve">. </w:t>
      </w:r>
      <w:r>
        <w:rPr>
          <w:rFonts w:asciiTheme="majorBidi" w:hAnsiTheme="majorBidi" w:cstheme="majorBidi"/>
        </w:rPr>
        <w:t xml:space="preserve"> </w:t>
      </w:r>
      <w:r w:rsidRPr="00A17C18">
        <w:rPr>
          <w:rFonts w:asciiTheme="majorBidi" w:hAnsiTheme="majorBidi" w:cstheme="majorBidi"/>
        </w:rPr>
        <w:t xml:space="preserve">Le concept de chaîne de valeur repose sur une vision de la firme comme étant constituée d’un portefeuille d’activités qu’il convient de gérer. La maîtrise de la compétitivité passe par une analyse minutieuse de ces différentes activités en distinguant les activités principales des activités de soutien d’une part et les activités à valeur ajoutée (AVA) et celles sans valeur ajoutée (ASVA) d’autre part </w:t>
      </w:r>
      <w:r>
        <w:rPr>
          <w:rFonts w:asciiTheme="majorBidi" w:hAnsiTheme="majorBidi" w:cstheme="majorBidi"/>
        </w:rPr>
        <w:t xml:space="preserve"> </w:t>
      </w:r>
    </w:p>
    <w:p w:rsidR="00C07BAC" w:rsidRPr="00426D40" w:rsidRDefault="00C07BAC" w:rsidP="00C07BAC">
      <w:pPr>
        <w:autoSpaceDE w:val="0"/>
        <w:autoSpaceDN w:val="0"/>
        <w:adjustRightInd w:val="0"/>
        <w:spacing w:line="240" w:lineRule="auto"/>
        <w:jc w:val="both"/>
        <w:rPr>
          <w:rFonts w:asciiTheme="majorBidi" w:hAnsiTheme="majorBidi" w:cstheme="majorBidi"/>
          <w:color w:val="000000" w:themeColor="text1"/>
        </w:rPr>
      </w:pPr>
      <w:r w:rsidRPr="00426D40">
        <w:rPr>
          <w:rFonts w:asciiTheme="majorBidi" w:hAnsiTheme="majorBidi" w:cstheme="majorBidi"/>
          <w:b/>
          <w:bCs/>
          <w:color w:val="000000" w:themeColor="text1"/>
        </w:rPr>
        <w:t>1)</w:t>
      </w:r>
      <w:r w:rsidRPr="00426D40">
        <w:rPr>
          <w:rFonts w:asciiTheme="majorBidi" w:hAnsiTheme="majorBidi" w:cstheme="majorBidi"/>
          <w:color w:val="000000" w:themeColor="text1"/>
        </w:rPr>
        <w:t xml:space="preserve">  </w:t>
      </w:r>
      <w:r w:rsidRPr="00426D40">
        <w:rPr>
          <w:rFonts w:asciiTheme="majorBidi" w:hAnsiTheme="majorBidi" w:cstheme="majorBidi"/>
          <w:b/>
          <w:bCs/>
          <w:color w:val="000000" w:themeColor="text1"/>
        </w:rPr>
        <w:t>Activités principales</w:t>
      </w:r>
      <w:r>
        <w:rPr>
          <w:rFonts w:asciiTheme="majorBidi" w:hAnsiTheme="majorBidi" w:cstheme="majorBidi"/>
          <w:b/>
          <w:bCs/>
          <w:color w:val="000000" w:themeColor="text1"/>
        </w:rPr>
        <w:t xml:space="preserve"> (à valeur ajouté) </w:t>
      </w:r>
      <w:r w:rsidRPr="00426D40">
        <w:rPr>
          <w:rFonts w:asciiTheme="majorBidi" w:hAnsiTheme="majorBidi" w:cstheme="majorBidi"/>
          <w:b/>
          <w:bCs/>
          <w:color w:val="000000" w:themeColor="text1"/>
        </w:rPr>
        <w:t xml:space="preserve"> </w:t>
      </w:r>
      <w:r w:rsidRPr="00426D40">
        <w:rPr>
          <w:rFonts w:asciiTheme="majorBidi" w:hAnsiTheme="majorBidi" w:cstheme="majorBidi"/>
          <w:color w:val="000000" w:themeColor="text1"/>
        </w:rPr>
        <w:t>: directement impliquées dans la création d’une valeur pour le client. (Ex : la logistique interne, la production, la logistique externe, le marketing et le service après vente).</w:t>
      </w:r>
    </w:p>
    <w:p w:rsidR="00C07BAC" w:rsidRPr="00426D40" w:rsidRDefault="00C07BAC" w:rsidP="00C07BAC">
      <w:pPr>
        <w:autoSpaceDE w:val="0"/>
        <w:autoSpaceDN w:val="0"/>
        <w:adjustRightInd w:val="0"/>
        <w:spacing w:line="240" w:lineRule="auto"/>
        <w:jc w:val="both"/>
        <w:rPr>
          <w:rFonts w:asciiTheme="majorBidi" w:hAnsiTheme="majorBidi" w:cstheme="majorBidi"/>
        </w:rPr>
      </w:pPr>
      <w:r w:rsidRPr="00426D40">
        <w:rPr>
          <w:rFonts w:asciiTheme="majorBidi" w:hAnsiTheme="majorBidi" w:cstheme="majorBidi"/>
          <w:b/>
          <w:bCs/>
          <w:color w:val="000000" w:themeColor="text1"/>
        </w:rPr>
        <w:t xml:space="preserve"> 2)</w:t>
      </w:r>
      <w:r w:rsidRPr="00426D40">
        <w:rPr>
          <w:rFonts w:asciiTheme="majorBidi" w:hAnsiTheme="majorBidi" w:cstheme="majorBidi"/>
          <w:color w:val="000000" w:themeColor="text1"/>
        </w:rPr>
        <w:t xml:space="preserve"> </w:t>
      </w:r>
      <w:r w:rsidRPr="00426D40">
        <w:rPr>
          <w:rFonts w:asciiTheme="majorBidi" w:hAnsiTheme="majorBidi" w:cstheme="majorBidi"/>
          <w:b/>
          <w:bCs/>
          <w:color w:val="000000" w:themeColor="text1"/>
        </w:rPr>
        <w:t xml:space="preserve">Activités de soutien </w:t>
      </w:r>
      <w:r w:rsidRPr="00426D40">
        <w:rPr>
          <w:rFonts w:asciiTheme="majorBidi" w:hAnsiTheme="majorBidi" w:cstheme="majorBidi"/>
          <w:color w:val="000000" w:themeColor="text1"/>
        </w:rPr>
        <w:t>: développement technologique, les ressources humaines, l’approvisionnement</w:t>
      </w:r>
    </w:p>
    <w:p w:rsidR="00C07BAC" w:rsidRDefault="00C07BAC" w:rsidP="00C07BAC">
      <w:pPr>
        <w:autoSpaceDE w:val="0"/>
        <w:autoSpaceDN w:val="0"/>
        <w:adjustRightInd w:val="0"/>
        <w:spacing w:line="240" w:lineRule="auto"/>
        <w:ind w:firstLine="708"/>
        <w:jc w:val="both"/>
        <w:rPr>
          <w:rFonts w:asciiTheme="majorBidi" w:hAnsiTheme="majorBidi" w:cstheme="majorBidi"/>
        </w:rPr>
      </w:pPr>
      <w:r w:rsidRPr="00426D40">
        <w:rPr>
          <w:rFonts w:asciiTheme="majorBidi" w:hAnsiTheme="majorBidi" w:cstheme="majorBidi"/>
        </w:rPr>
        <w:t xml:space="preserve">Le </w:t>
      </w:r>
      <w:r>
        <w:rPr>
          <w:rFonts w:asciiTheme="majorBidi" w:hAnsiTheme="majorBidi" w:cstheme="majorBidi"/>
        </w:rPr>
        <w:t xml:space="preserve">tableau </w:t>
      </w:r>
      <w:r w:rsidRPr="00426D40">
        <w:rPr>
          <w:rFonts w:asciiTheme="majorBidi" w:hAnsiTheme="majorBidi" w:cstheme="majorBidi"/>
        </w:rPr>
        <w:t xml:space="preserve"> suivant résume cette conception de l’analyse interne </w:t>
      </w:r>
    </w:p>
    <w:p w:rsidR="00C07BAC" w:rsidRDefault="00C07BAC" w:rsidP="00C07BAC">
      <w:pPr>
        <w:autoSpaceDE w:val="0"/>
        <w:autoSpaceDN w:val="0"/>
        <w:adjustRightInd w:val="0"/>
        <w:spacing w:line="240" w:lineRule="auto"/>
        <w:ind w:firstLine="708"/>
        <w:jc w:val="both"/>
        <w:rPr>
          <w:rFonts w:asciiTheme="majorBidi" w:hAnsiTheme="majorBidi" w:cstheme="majorBidi"/>
        </w:rPr>
      </w:pPr>
      <w:r w:rsidRPr="00D81363">
        <w:rPr>
          <w:rFonts w:asciiTheme="majorBidi" w:hAnsiTheme="majorBidi" w:cstheme="majorBidi"/>
          <w:noProof/>
          <w:lang w:eastAsia="fr-FR"/>
        </w:rPr>
        <w:drawing>
          <wp:inline distT="0" distB="0" distL="0" distR="0">
            <wp:extent cx="5761264" cy="1642401"/>
            <wp:effectExtent l="19050" t="0" r="0" b="0"/>
            <wp:docPr id="1" name="Image 1" descr="Tabl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au 1"/>
                    <pic:cNvPicPr>
                      <a:picLocks noChangeAspect="1" noChangeArrowheads="1"/>
                    </pic:cNvPicPr>
                  </pic:nvPicPr>
                  <pic:blipFill>
                    <a:blip r:embed="rId7"/>
                    <a:srcRect/>
                    <a:stretch>
                      <a:fillRect/>
                    </a:stretch>
                  </pic:blipFill>
                  <pic:spPr bwMode="auto">
                    <a:xfrm>
                      <a:off x="0" y="0"/>
                      <a:ext cx="5760720" cy="1642246"/>
                    </a:xfrm>
                    <a:prstGeom prst="rect">
                      <a:avLst/>
                    </a:prstGeom>
                    <a:noFill/>
                    <a:ln w="9525">
                      <a:noFill/>
                      <a:miter lim="800000"/>
                      <a:headEnd/>
                      <a:tailEnd/>
                    </a:ln>
                  </pic:spPr>
                </pic:pic>
              </a:graphicData>
            </a:graphic>
          </wp:inline>
        </w:drawing>
      </w:r>
    </w:p>
    <w:p w:rsidR="00C07BAC" w:rsidRDefault="00C07BAC" w:rsidP="00C07BAC">
      <w:pPr>
        <w:autoSpaceDE w:val="0"/>
        <w:autoSpaceDN w:val="0"/>
        <w:adjustRightInd w:val="0"/>
        <w:spacing w:line="240" w:lineRule="auto"/>
        <w:ind w:firstLine="708"/>
        <w:jc w:val="both"/>
        <w:rPr>
          <w:rFonts w:asciiTheme="majorBidi" w:hAnsiTheme="majorBidi" w:cstheme="majorBidi"/>
        </w:rPr>
      </w:pPr>
      <w:r>
        <w:rPr>
          <w:rFonts w:asciiTheme="majorBidi" w:hAnsiTheme="majorBidi" w:cstheme="majorBidi"/>
        </w:rPr>
        <w:t xml:space="preserve">Le schéma suivant illustre ces activité a travers des exemples </w:t>
      </w:r>
    </w:p>
    <w:p w:rsidR="00C07BAC" w:rsidRDefault="00C07BAC" w:rsidP="00C07BAC">
      <w:pPr>
        <w:autoSpaceDE w:val="0"/>
        <w:autoSpaceDN w:val="0"/>
        <w:adjustRightInd w:val="0"/>
        <w:ind w:firstLine="708"/>
      </w:pPr>
      <w:r>
        <w:rPr>
          <w:noProof/>
          <w:lang w:eastAsia="fr-FR"/>
        </w:rPr>
        <w:drawing>
          <wp:inline distT="0" distB="0" distL="0" distR="0">
            <wp:extent cx="5410976" cy="220980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35043" cy="2219629"/>
                    </a:xfrm>
                    <a:prstGeom prst="rect">
                      <a:avLst/>
                    </a:prstGeom>
                    <a:noFill/>
                    <a:ln w="9525">
                      <a:noFill/>
                      <a:miter lim="800000"/>
                      <a:headEnd/>
                      <a:tailEnd/>
                    </a:ln>
                  </pic:spPr>
                </pic:pic>
              </a:graphicData>
            </a:graphic>
          </wp:inline>
        </w:drawing>
      </w:r>
    </w:p>
    <w:p w:rsidR="00C07BAC" w:rsidRPr="002464B6" w:rsidRDefault="00C07BAC" w:rsidP="00C07BAC">
      <w:pPr>
        <w:pStyle w:val="Paragraphedeliste"/>
        <w:numPr>
          <w:ilvl w:val="0"/>
          <w:numId w:val="6"/>
        </w:numPr>
        <w:autoSpaceDE w:val="0"/>
        <w:autoSpaceDN w:val="0"/>
        <w:adjustRightInd w:val="0"/>
        <w:spacing w:after="0" w:line="360" w:lineRule="auto"/>
        <w:jc w:val="both"/>
        <w:rPr>
          <w:rFonts w:asciiTheme="majorBidi" w:hAnsiTheme="majorBidi" w:cstheme="majorBidi"/>
          <w:b/>
          <w:bCs/>
          <w:u w:val="single"/>
        </w:rPr>
      </w:pPr>
      <w:r w:rsidRPr="002464B6">
        <w:rPr>
          <w:rFonts w:asciiTheme="majorBidi" w:hAnsiTheme="majorBidi" w:cstheme="majorBidi"/>
          <w:b/>
          <w:bCs/>
          <w:u w:val="single"/>
        </w:rPr>
        <w:t xml:space="preserve">Analyse interne   des ressources stratégiques  </w:t>
      </w:r>
    </w:p>
    <w:p w:rsidR="00C07BAC" w:rsidRDefault="00C07BAC" w:rsidP="00C07BAC">
      <w:pPr>
        <w:spacing w:after="0" w:line="360" w:lineRule="auto"/>
        <w:jc w:val="both"/>
        <w:textAlignment w:val="baseline"/>
        <w:rPr>
          <w:rFonts w:asciiTheme="majorBidi" w:eastAsia="Times New Roman" w:hAnsiTheme="majorBidi" w:cstheme="majorBidi"/>
          <w:color w:val="333333"/>
          <w:lang w:eastAsia="fr-FR"/>
        </w:rPr>
      </w:pPr>
      <w:r w:rsidRPr="00DE4602">
        <w:rPr>
          <w:rFonts w:asciiTheme="majorBidi" w:hAnsiTheme="majorBidi" w:cstheme="majorBidi"/>
        </w:rPr>
        <w:t>Dans l’analyse interne, les théories modernes de management   mettent beaucoup plus l’accent aujourd’hui sur la notion de ressources propres comme étant l’objet sur lequel doit porter cette analyse. Dans cette optique, la stratégie d’entreprise consiste à développer un portefeuille de ressources présentant les propriétés suivantes : présenter un fort potentiel de contribution aux stratégies de positionnement susceptibles d’être choisies par la firme, engendrer des avantages sur les entreprises concurrentes, et assurer la pérennité de ces avantages. De nombreux auteurs ont tenté de clarifier ces propriétés des ressources stratégiques.  AMIT ET SCHOEMAKER</w:t>
      </w:r>
      <w:r w:rsidRPr="00DE4602">
        <w:rPr>
          <w:rStyle w:val="Appelnotedebasdep"/>
          <w:rFonts w:asciiTheme="majorBidi" w:hAnsiTheme="majorBidi" w:cstheme="majorBidi"/>
        </w:rPr>
        <w:footnoteReference w:id="5"/>
      </w:r>
      <w:r w:rsidRPr="00DE4602">
        <w:rPr>
          <w:rFonts w:asciiTheme="majorBidi" w:hAnsiTheme="majorBidi" w:cstheme="majorBidi"/>
        </w:rPr>
        <w:t>,   définissent   ces ressources comme « l’ensemble des ressources et capacités difficiles à échanger et à imiter, rares, appropriables et spécialisées, qui fournissent des avantages concurrentiels à la firme ».</w:t>
      </w:r>
      <w:r w:rsidRPr="00DE4602">
        <w:rPr>
          <w:rFonts w:asciiTheme="majorBidi" w:eastAsia="Times New Roman" w:hAnsiTheme="majorBidi" w:cstheme="majorBidi"/>
          <w:color w:val="333333"/>
          <w:lang w:eastAsia="fr-FR"/>
        </w:rPr>
        <w:t xml:space="preserve"> </w:t>
      </w:r>
    </w:p>
    <w:p w:rsidR="00E24C7E" w:rsidRDefault="00E24C7E"/>
    <w:sectPr w:rsidR="00E24C7E" w:rsidSect="00E24C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FA5" w:rsidRDefault="00E42FA5" w:rsidP="00C07BAC">
      <w:pPr>
        <w:spacing w:after="0" w:line="240" w:lineRule="auto"/>
      </w:pPr>
      <w:r>
        <w:separator/>
      </w:r>
    </w:p>
  </w:endnote>
  <w:endnote w:type="continuationSeparator" w:id="1">
    <w:p w:rsidR="00E42FA5" w:rsidRDefault="00E42FA5" w:rsidP="00C07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erif">
    <w:altName w:val="MS Mincho"/>
    <w:panose1 w:val="00000000000000000000"/>
    <w:charset w:val="80"/>
    <w:family w:val="auto"/>
    <w:notTrueType/>
    <w:pitch w:val="default"/>
    <w:sig w:usb0="00000001" w:usb1="08070000" w:usb2="00000010" w:usb3="00000000" w:csb0="00020000" w:csb1="00000000"/>
  </w:font>
  <w:font w:name="TimesNewRomanPS">
    <w:panose1 w:val="00000000000000000000"/>
    <w:charset w:val="00"/>
    <w:family w:val="roman"/>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FA5" w:rsidRDefault="00E42FA5" w:rsidP="00C07BAC">
      <w:pPr>
        <w:spacing w:after="0" w:line="240" w:lineRule="auto"/>
      </w:pPr>
      <w:r>
        <w:separator/>
      </w:r>
    </w:p>
  </w:footnote>
  <w:footnote w:type="continuationSeparator" w:id="1">
    <w:p w:rsidR="00E42FA5" w:rsidRDefault="00E42FA5" w:rsidP="00C07BAC">
      <w:pPr>
        <w:spacing w:after="0" w:line="240" w:lineRule="auto"/>
      </w:pPr>
      <w:r>
        <w:continuationSeparator/>
      </w:r>
    </w:p>
  </w:footnote>
  <w:footnote w:id="2">
    <w:p w:rsidR="00C07BAC" w:rsidRPr="006606CD" w:rsidRDefault="00C07BAC" w:rsidP="00C07BAC">
      <w:pPr>
        <w:autoSpaceDE w:val="0"/>
        <w:autoSpaceDN w:val="0"/>
        <w:adjustRightInd w:val="0"/>
        <w:spacing w:line="240" w:lineRule="auto"/>
        <w:rPr>
          <w:rFonts w:asciiTheme="majorBidi" w:hAnsiTheme="majorBidi" w:cstheme="majorBidi"/>
          <w:sz w:val="18"/>
          <w:szCs w:val="18"/>
        </w:rPr>
      </w:pPr>
      <w:r w:rsidRPr="006606CD">
        <w:rPr>
          <w:rStyle w:val="Appelnotedebasdep"/>
          <w:rFonts w:asciiTheme="majorBidi" w:hAnsiTheme="majorBidi" w:cstheme="majorBidi"/>
          <w:sz w:val="18"/>
          <w:szCs w:val="18"/>
        </w:rPr>
        <w:footnoteRef/>
      </w:r>
      <w:r w:rsidRPr="006606CD">
        <w:rPr>
          <w:rFonts w:asciiTheme="majorBidi" w:hAnsiTheme="majorBidi" w:cstheme="majorBidi"/>
          <w:sz w:val="18"/>
          <w:szCs w:val="18"/>
        </w:rPr>
        <w:t xml:space="preserve"> </w:t>
      </w:r>
      <w:r w:rsidRPr="006606CD">
        <w:rPr>
          <w:rFonts w:asciiTheme="majorBidi" w:eastAsia="DejaVuSerif" w:hAnsiTheme="majorBidi" w:cstheme="majorBidi"/>
          <w:color w:val="000000" w:themeColor="text1"/>
          <w:sz w:val="18"/>
          <w:szCs w:val="18"/>
        </w:rPr>
        <w:t xml:space="preserve">LORINO Philippe, TARONDEAU Jean-Claude, </w:t>
      </w:r>
      <w:r w:rsidRPr="006606CD">
        <w:rPr>
          <w:rFonts w:asciiTheme="majorBidi" w:eastAsia="DejaVuSerif" w:hAnsiTheme="majorBidi" w:cstheme="majorBidi"/>
          <w:color w:val="222222"/>
          <w:sz w:val="18"/>
          <w:szCs w:val="18"/>
        </w:rPr>
        <w:t>De la stratégie aux processus stratégiques,</w:t>
      </w:r>
      <w:r w:rsidRPr="006606CD">
        <w:rPr>
          <w:rFonts w:asciiTheme="majorBidi" w:eastAsia="DejaVuSerif" w:hAnsiTheme="majorBidi" w:cstheme="majorBidi"/>
          <w:color w:val="4BB3AD"/>
          <w:sz w:val="18"/>
          <w:szCs w:val="18"/>
        </w:rPr>
        <w:t xml:space="preserve"> </w:t>
      </w:r>
      <w:r w:rsidRPr="006606CD">
        <w:rPr>
          <w:rFonts w:asciiTheme="majorBidi" w:eastAsia="DejaVuSerif" w:hAnsiTheme="majorBidi" w:cstheme="majorBidi"/>
          <w:color w:val="000000" w:themeColor="text1"/>
          <w:sz w:val="18"/>
          <w:szCs w:val="18"/>
        </w:rPr>
        <w:t>Revue Française de Gestion » N° 160.2006, page  307 à 328.</w:t>
      </w:r>
    </w:p>
  </w:footnote>
  <w:footnote w:id="3">
    <w:p w:rsidR="00C07BAC" w:rsidRDefault="00C07BAC" w:rsidP="00C07BAC">
      <w:pPr>
        <w:pStyle w:val="Notedebasdepage"/>
      </w:pPr>
      <w:r>
        <w:rPr>
          <w:rStyle w:val="Appelnotedebasdep"/>
        </w:rPr>
        <w:footnoteRef/>
      </w:r>
      <w:r>
        <w:t xml:space="preserve"> Stratégor, p</w:t>
      </w:r>
    </w:p>
  </w:footnote>
  <w:footnote w:id="4">
    <w:p w:rsidR="00C07BAC" w:rsidRDefault="00C07BAC" w:rsidP="00C07BAC">
      <w:pPr>
        <w:pStyle w:val="Notedebasdepage"/>
      </w:pPr>
      <w:r>
        <w:rPr>
          <w:rStyle w:val="Appelnotedebasdep"/>
        </w:rPr>
        <w:footnoteRef/>
      </w:r>
      <w:r>
        <w:t xml:space="preserve"> </w:t>
      </w:r>
      <w:r>
        <w:rPr>
          <w:rFonts w:ascii="TimesNewRomanPS" w:hAnsi="TimesNewRomanPS" w:cs="TimesNewRomanPS"/>
        </w:rPr>
        <w:t xml:space="preserve"> </w:t>
      </w:r>
      <w:r w:rsidRPr="001D78AE">
        <w:rPr>
          <w:rFonts w:ascii="TimesNewRomanPS" w:hAnsi="TimesNewRomanPS" w:cs="TimesNewRomanPS"/>
        </w:rPr>
        <w:t>Un secteur regroupe des entreprises de fabrication, de commerce ou de service qui ont la même activité principale</w:t>
      </w:r>
      <w:r>
        <w:rPr>
          <w:rFonts w:ascii="TimesNewRomanPS" w:hAnsi="TimesNewRomanPS" w:cs="TimesNewRomanPS"/>
        </w:rPr>
        <w:t xml:space="preserve">  </w:t>
      </w:r>
      <w:r>
        <w:rPr>
          <w:rFonts w:ascii="Open Sans" w:hAnsi="Open Sans" w:cs="Open Sans"/>
          <w:color w:val="525457"/>
          <w:shd w:val="clear" w:color="auto" w:fill="F7F7F7"/>
        </w:rPr>
        <w:t xml:space="preserve"> </w:t>
      </w:r>
      <w:r>
        <w:rPr>
          <w:rFonts w:ascii="TimesNewRomanPS" w:hAnsi="TimesNewRomanPS" w:cs="TimesNewRomanPS"/>
        </w:rPr>
        <w:t xml:space="preserve"> </w:t>
      </w:r>
    </w:p>
  </w:footnote>
  <w:footnote w:id="5">
    <w:p w:rsidR="00C07BAC" w:rsidRPr="006606CD" w:rsidRDefault="00C07BAC" w:rsidP="00C07BAC">
      <w:pPr>
        <w:autoSpaceDE w:val="0"/>
        <w:autoSpaceDN w:val="0"/>
        <w:adjustRightInd w:val="0"/>
        <w:spacing w:line="240" w:lineRule="auto"/>
        <w:rPr>
          <w:rFonts w:asciiTheme="majorBidi" w:hAnsiTheme="majorBidi" w:cstheme="majorBidi"/>
          <w:sz w:val="18"/>
          <w:szCs w:val="18"/>
          <w:lang w:val="en-US"/>
        </w:rPr>
      </w:pPr>
      <w:r w:rsidRPr="006606CD">
        <w:rPr>
          <w:rStyle w:val="Appelnotedebasdep"/>
          <w:rFonts w:asciiTheme="majorBidi" w:hAnsiTheme="majorBidi" w:cstheme="majorBidi"/>
          <w:sz w:val="18"/>
          <w:szCs w:val="18"/>
        </w:rPr>
        <w:footnoteRef/>
      </w:r>
      <w:r w:rsidRPr="005936E1">
        <w:rPr>
          <w:rFonts w:asciiTheme="majorBidi" w:hAnsiTheme="majorBidi" w:cstheme="majorBidi"/>
          <w:sz w:val="18"/>
          <w:szCs w:val="18"/>
          <w:lang w:val="en-US"/>
        </w:rPr>
        <w:t xml:space="preserve">  Cite par LORINO in  . </w:t>
      </w:r>
      <w:r w:rsidRPr="006606CD">
        <w:rPr>
          <w:rFonts w:asciiTheme="majorBidi" w:hAnsiTheme="majorBidi" w:cstheme="majorBidi"/>
          <w:sz w:val="18"/>
          <w:szCs w:val="18"/>
          <w:lang w:val="en-US"/>
        </w:rPr>
        <w:t xml:space="preserve">R. Amit, P. J. H. Schoemaker, “Strategic Assets and Organizational Rent”, </w:t>
      </w:r>
      <w:r w:rsidRPr="006606CD">
        <w:rPr>
          <w:rFonts w:asciiTheme="majorBidi" w:hAnsiTheme="majorBidi" w:cstheme="majorBidi"/>
          <w:i/>
          <w:iCs/>
          <w:sz w:val="18"/>
          <w:szCs w:val="18"/>
          <w:lang w:val="en-US"/>
        </w:rPr>
        <w:t>Strategic Management Journal</w:t>
      </w:r>
      <w:r w:rsidRPr="006606CD">
        <w:rPr>
          <w:rFonts w:asciiTheme="majorBidi" w:hAnsiTheme="majorBidi" w:cstheme="majorBidi"/>
          <w:sz w:val="18"/>
          <w:szCs w:val="18"/>
          <w:lang w:val="en-US"/>
        </w:rPr>
        <w:t>, janvier 1993, p. 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156A8"/>
    <w:multiLevelType w:val="hybridMultilevel"/>
    <w:tmpl w:val="D19CE952"/>
    <w:lvl w:ilvl="0" w:tplc="B008A06C">
      <w:start w:val="7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BC7063"/>
    <w:multiLevelType w:val="hybridMultilevel"/>
    <w:tmpl w:val="AC4EA4A2"/>
    <w:lvl w:ilvl="0" w:tplc="76EE20F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115ADE"/>
    <w:multiLevelType w:val="hybridMultilevel"/>
    <w:tmpl w:val="C890E8CA"/>
    <w:lvl w:ilvl="0" w:tplc="52B432A8">
      <w:start w:val="2"/>
      <w:numFmt w:val="bullet"/>
      <w:lvlText w:val="-"/>
      <w:lvlJc w:val="left"/>
      <w:pPr>
        <w:ind w:left="720" w:hanging="360"/>
      </w:pPr>
      <w:rPr>
        <w:rFonts w:ascii="Times New Roman" w:eastAsiaTheme="minorHAns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C6628D1"/>
    <w:multiLevelType w:val="hybridMultilevel"/>
    <w:tmpl w:val="5672D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FA646E"/>
    <w:multiLevelType w:val="hybridMultilevel"/>
    <w:tmpl w:val="BD76F5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9222478"/>
    <w:multiLevelType w:val="hybridMultilevel"/>
    <w:tmpl w:val="77E60CD4"/>
    <w:lvl w:ilvl="0" w:tplc="5E984404">
      <w:start w:val="1"/>
      <w:numFmt w:val="decimal"/>
      <w:lvlText w:val="%1."/>
      <w:lvlJc w:val="left"/>
      <w:pPr>
        <w:ind w:left="720"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609E491C"/>
    <w:multiLevelType w:val="hybridMultilevel"/>
    <w:tmpl w:val="F48E7A54"/>
    <w:lvl w:ilvl="0" w:tplc="B5A4CEF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hyphenationZone w:val="425"/>
  <w:characterSpacingControl w:val="doNotCompress"/>
  <w:savePreviewPicture/>
  <w:footnotePr>
    <w:footnote w:id="0"/>
    <w:footnote w:id="1"/>
  </w:footnotePr>
  <w:endnotePr>
    <w:endnote w:id="0"/>
    <w:endnote w:id="1"/>
  </w:endnotePr>
  <w:compat/>
  <w:rsids>
    <w:rsidRoot w:val="00C07BAC"/>
    <w:rsid w:val="00C07BAC"/>
    <w:rsid w:val="00E24C7E"/>
    <w:rsid w:val="00E42F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7BAC"/>
    <w:pPr>
      <w:ind w:left="720"/>
    </w:pPr>
    <w:rPr>
      <w:rFonts w:ascii="Calibri" w:eastAsia="Times New Roman" w:hAnsi="Calibri" w:cs="Calibri"/>
      <w:lang w:eastAsia="fr-FR"/>
    </w:rPr>
  </w:style>
  <w:style w:type="paragraph" w:styleId="Notedebasdepage">
    <w:name w:val="footnote text"/>
    <w:basedOn w:val="Normal"/>
    <w:link w:val="NotedebasdepageCar"/>
    <w:semiHidden/>
    <w:unhideWhenUsed/>
    <w:rsid w:val="00C07BAC"/>
    <w:pPr>
      <w:spacing w:after="0" w:line="240" w:lineRule="auto"/>
    </w:pPr>
    <w:rPr>
      <w:sz w:val="20"/>
      <w:szCs w:val="20"/>
    </w:rPr>
  </w:style>
  <w:style w:type="character" w:customStyle="1" w:styleId="NotedebasdepageCar">
    <w:name w:val="Note de bas de page Car"/>
    <w:basedOn w:val="Policepardfaut"/>
    <w:link w:val="Notedebasdepage"/>
    <w:semiHidden/>
    <w:rsid w:val="00C07BAC"/>
    <w:rPr>
      <w:sz w:val="20"/>
      <w:szCs w:val="20"/>
    </w:rPr>
  </w:style>
  <w:style w:type="character" w:styleId="Appelnotedebasdep">
    <w:name w:val="footnote reference"/>
    <w:basedOn w:val="Policepardfaut"/>
    <w:semiHidden/>
    <w:unhideWhenUsed/>
    <w:rsid w:val="00C07BAC"/>
    <w:rPr>
      <w:vertAlign w:val="superscript"/>
    </w:rPr>
  </w:style>
  <w:style w:type="paragraph" w:styleId="NormalWeb">
    <w:name w:val="Normal (Web)"/>
    <w:basedOn w:val="Normal"/>
    <w:uiPriority w:val="99"/>
    <w:semiHidden/>
    <w:unhideWhenUsed/>
    <w:rsid w:val="00C07BAC"/>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Ombrageclair1">
    <w:name w:val="Ombrage clair1"/>
    <w:basedOn w:val="TableauNormal"/>
    <w:uiPriority w:val="60"/>
    <w:rsid w:val="00C07BA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edebulles">
    <w:name w:val="Balloon Text"/>
    <w:basedOn w:val="Normal"/>
    <w:link w:val="TextedebullesCar"/>
    <w:uiPriority w:val="99"/>
    <w:semiHidden/>
    <w:unhideWhenUsed/>
    <w:rsid w:val="00C07B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7B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1823</Words>
  <Characters>10031</Characters>
  <Application>Microsoft Office Word</Application>
  <DocSecurity>0</DocSecurity>
  <Lines>83</Lines>
  <Paragraphs>23</Paragraphs>
  <ScaleCrop>false</ScaleCrop>
  <Company/>
  <LinksUpToDate>false</LinksUpToDate>
  <CharactersWithSpaces>11831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2023-01-14T20:18:00Z</dcterms:created>
  <dcterms:modified xsi:type="dcterms:W3CDTF">2023-01-14T20:19:00Z</dcterms:modified>
</cp:coreProperties>
</file>