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5" w:rsidRPr="008E76A1" w:rsidRDefault="00F84EE5" w:rsidP="00F84EE5">
      <w:pPr>
        <w:pStyle w:val="Paragraphedeliste"/>
        <w:numPr>
          <w:ilvl w:val="0"/>
          <w:numId w:val="2"/>
        </w:numPr>
        <w:spacing w:before="240"/>
        <w:jc w:val="both"/>
        <w:rPr>
          <w:rFonts w:ascii="Simplified Arabic" w:hAnsi="Simplified Arabic" w:cs="Simplified Arabic"/>
          <w:sz w:val="32"/>
          <w:szCs w:val="32"/>
        </w:rPr>
      </w:pPr>
      <w:proofErr w:type="gramStart"/>
      <w:r w:rsidRPr="008E76A1">
        <w:rPr>
          <w:rFonts w:ascii="Simplified Arabic" w:hAnsi="Simplified Arabic" w:cs="Simplified Arabic" w:hint="cs"/>
          <w:sz w:val="32"/>
          <w:szCs w:val="32"/>
          <w:rtl/>
        </w:rPr>
        <w:t>سياسة</w:t>
      </w:r>
      <w:proofErr w:type="gramEnd"/>
      <w:r w:rsidRPr="008E76A1">
        <w:rPr>
          <w:rFonts w:ascii="Simplified Arabic" w:hAnsi="Simplified Arabic" w:cs="Simplified Arabic" w:hint="cs"/>
          <w:sz w:val="32"/>
          <w:szCs w:val="32"/>
          <w:rtl/>
        </w:rPr>
        <w:t xml:space="preserve"> الوقاية و العلاج: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يقصد بسياسة الوقاية و العلاج، أو سياسة الوقاية </w:t>
      </w:r>
      <w:r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أ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و المنع، تلك 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>التدابير والإجراءات التي يتم اتخاذها من طرف المشرفين على السياسة الجنائية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،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 ل</w:t>
      </w:r>
      <w:r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منع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 وقوع الجريمة. وتهدف سياسة المنع 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و الوقاية 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إلى 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استئصال 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العادات </w:t>
      </w:r>
      <w:proofErr w:type="spellStart"/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>الانحراف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ي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>ة</w:t>
      </w:r>
      <w:proofErr w:type="spellEnd"/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،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 والقضاء على العوامل التي تهيئ الفرص لارتكاب الجريمة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. لذلك ف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هذه السياسة </w:t>
      </w:r>
      <w:proofErr w:type="gramStart"/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تهتم</w:t>
      </w:r>
      <w:proofErr w:type="gramEnd"/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 xml:space="preserve"> </w:t>
      </w:r>
      <w:r w:rsidRPr="00A9447F"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  <w:t>بالمرحلة التي تسبق وقوع الجريمة</w:t>
      </w: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color w:val="212020"/>
          <w:sz w:val="32"/>
          <w:szCs w:val="32"/>
          <w:shd w:val="clear" w:color="auto" w:fill="FFFFFF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color w:val="212020"/>
          <w:sz w:val="32"/>
          <w:szCs w:val="32"/>
          <w:shd w:val="clear" w:color="auto" w:fill="FFFFFF"/>
          <w:rtl/>
        </w:rPr>
        <w:t>و تعتبر الخطورة الاجرامية إحدى عوامل بروز السياسة الوقائية الحديثة، بعد أن سيطرت على الفكر الجنائي المعاصر ضرورة التنبؤ بالخطر الذي يهدّد المجتمع بالجريمة، و العمل على مواجهته، بأسلوب الوقاية و العلاج، الذي يعتمد على دراسة شخصية المجرم بدلا من دراسة الجريمة، دراسة تتطلع إلى المستقبل بدلا من الماضي، لتقيم مفهوما واقعيا للدفاع الاجتماعي، أساسه حماية المجتمع من الخطورة الاجرامية.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</w:pP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ظهرت سياسة الوقا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ي</w:t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ة و العلاج، بداية مع المدرسة الايطالية الوضعية، بعدما كانت السياسة الجزائية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،</w:t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 xml:space="preserve"> ترتكز على التجريم و العقاب فقط، و كان الهدف من العقاب هو ايلام الجاني.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</w:pP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يعتقد أ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ن</w:t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ريكو فيري ( أحد رواد المدرسة الوضعية ) إن إصلاح المجرم ليس كافيا، ما لم تبذل الجهود لاصلاح وسطه الاجتماعي</w:t>
      </w:r>
      <w:r w:rsidRPr="00A9447F">
        <w:rPr>
          <w:rStyle w:val="Appelnotedebasdep"/>
          <w:rFonts w:ascii="Simplified Arabic" w:hAnsi="Simplified Arabic" w:cs="Simplified Arabic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footnoteReference w:id="1"/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 xml:space="preserve"> لأن اصلاح الخلل الموجود في المجتمع، من شأنه أن يبعد الافراد عن ارتكاب الأفعال الإجرامي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ة</w:t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، و هكذا تتم وقاية المجتمع، و منع المجرم من ا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ل</w:t>
      </w: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ع</w:t>
      </w:r>
      <w:r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>ودة إلى الجريمة.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</w:pPr>
      <w:r w:rsidRPr="00A9447F">
        <w:rPr>
          <w:rFonts w:ascii="Simplified Arabic" w:hAnsi="Simplified Arabic" w:cs="Simplified Arabic" w:hint="cs"/>
          <w:b w:val="0"/>
          <w:bCs w:val="0"/>
          <w:noProof/>
          <w:color w:val="212020"/>
          <w:sz w:val="32"/>
          <w:szCs w:val="32"/>
          <w:shd w:val="clear" w:color="auto" w:fill="FFFFFF"/>
          <w:rtl/>
          <w:lang w:eastAsia="fr-FR"/>
        </w:rPr>
        <w:t xml:space="preserve">فعوامل الجريمة ليست فقط نفسية أو وراثية، و إنما تُعتبر العوامل الاقتصادية والاجتماعية و التوجهات الفكرية المتطرفة، من أكثر ما يغذي السلوك الانحرافي و الاجرامي، ( مثل الفقر و الجهل و التهميش....) التي غالبا ما تؤدي إلى الشعور بالاقصاء الاجتماعي  يدفع بصاحبه إلى الانحراف عن قواعد الضبط. من أجل ذلك، تدعو السياسة الجنائية الحديثة إلى النظر في هذه العوامل و إصلاحها  لوقاية المجتمع، و ردع من الجريمة قبل وقوعها.  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lastRenderedPageBreak/>
        <w:t xml:space="preserve">كما </w:t>
      </w:r>
      <w:proofErr w:type="spellStart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دعى</w:t>
      </w:r>
      <w:proofErr w:type="spellEnd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رائد الاتجاه المعتدل في حركة الدفاع الاجتماعي مارك </w:t>
      </w:r>
      <w:proofErr w:type="spellStart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آنسال</w:t>
      </w:r>
      <w:proofErr w:type="spellEnd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، إلى اعتماد سياسة الوقاية من طرف السلطة التشريعية، و منع الجريمة قبل وقوعها، لضمان الاستقرار في حياة الجماعة.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تدعو حركة الدفاع الاجتماعي الجديد إلى التكفل بالأشخاص الموجودين في ظروف صعبة و خاصة الأحداث، كحق من حقوق الانسان، و تحقيق عدالة اجتماعية، يحس الجميع في اطارها بأهمية القيم المشتركة.</w:t>
      </w:r>
      <w:r w:rsidRPr="00A9447F">
        <w:rPr>
          <w:rStyle w:val="Appelnotedebasdep"/>
          <w:rFonts w:ascii="Simplified Arabic" w:hAnsi="Simplified Arabic" w:cs="Simplified Arabic"/>
          <w:b w:val="0"/>
          <w:bCs w:val="0"/>
          <w:sz w:val="32"/>
          <w:szCs w:val="32"/>
          <w:rtl/>
        </w:rPr>
        <w:footnoteReference w:id="2"/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و هو ما أصبح يت</w:t>
      </w: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بناه المجتمع الدولي كعنصر </w:t>
      </w:r>
      <w:proofErr w:type="gramStart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أساسي</w:t>
      </w:r>
      <w:proofErr w:type="gramEnd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من عناصر السياسة الجنائية.</w:t>
      </w:r>
    </w:p>
    <w:p w:rsidR="00F84EE5" w:rsidRPr="00F84EE5" w:rsidRDefault="00F84EE5" w:rsidP="00F84EE5">
      <w:pPr>
        <w:pStyle w:val="Paragraphedeliste"/>
        <w:numPr>
          <w:ilvl w:val="0"/>
          <w:numId w:val="2"/>
        </w:numPr>
        <w:spacing w:before="240"/>
        <w:jc w:val="both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  <w:r w:rsidRPr="00F84EE5">
        <w:rPr>
          <w:rFonts w:ascii="Simplified Arabic" w:hAnsi="Simplified Arabic" w:cs="Simplified Arabic" w:hint="cs"/>
          <w:sz w:val="32"/>
          <w:szCs w:val="32"/>
          <w:rtl/>
        </w:rPr>
        <w:t xml:space="preserve">سياسة التأهيل و الاصلاح:  </w:t>
      </w:r>
    </w:p>
    <w:p w:rsidR="00F84EE5" w:rsidRPr="00A9447F" w:rsidRDefault="00F84EE5" w:rsidP="00F84EE5">
      <w:pP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يعتبر تأهيل الجاني المحكوم عليه و اصلاحه، سياسة مكملة لسياسة الوقاية و حماية المجتمع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تحت تأثير عدّة اعتبارات إنسانية، تمّ تعدّ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ي</w:t>
      </w: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ل مفهوم العقوبة في مكافحة الجريمة، خلال العصور المتعاقبة، بحيث أصبح العقاب اصلاح و تأهيل أكثر من كونه وسيلة إيلام و تأنيب، و أصبح ردع الجريمة لا يتمثل فقط في عزل الأشخاص الخطرين على أمن المجتمع و استقراره في مؤسسات عقابية مغلقة، بل قد يتمثل الجزاء أيضا في عدم عزل هؤلاء عن مجتمعهم بصورة نهائية، و السعي إلى تأهيلهم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،</w:t>
      </w: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بإزالة الدوافع السلبية في نفوسهم و قد يتمّ ذلك في مؤسسات عقابية شبه مفتوحة، أو تطبيق أساليب أخرى في المعاملة العقابية، كوقف التنفيذ، أو الافراج المشروط، أو التوظيف للمصلحة العامة.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و غالبا ما يتم التأهل عن طريق تقديم مؤسسة إعادة التربية ( السجن) </w:t>
      </w:r>
      <w:proofErr w:type="spellStart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تدرييب</w:t>
      </w:r>
      <w:proofErr w:type="spellEnd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مهني لنزلائه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ا</w:t>
      </w: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، و تكوينهم في تخصصات مختلفة، لذلك تنشأ داخل هذه المؤسسات ورشات للتدريب المهني، بغية إعادة المحكوم عليه إلى الحياة الاجتماعية، و التكيّف و الاندماج  الاجتماعي، بعد انقضاء العقوبة. 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و من أساليب التأهيل و الاصلاح، ما يتمّ توظيفه و تطبيقه داخل المؤسسة العقابية بالاعتماد على أبحاث علم النفس و علم الاجتماع  و علم الاجرام مثل:</w:t>
      </w:r>
    </w:p>
    <w:p w:rsidR="00F84EE5" w:rsidRPr="00A9447F" w:rsidRDefault="00F84EE5" w:rsidP="00F84EE5">
      <w:pPr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lastRenderedPageBreak/>
        <w:t xml:space="preserve">ـــ التعامل مع الحالات الفردية </w:t>
      </w:r>
      <w:proofErr w:type="gramStart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ـــ  التكفل</w:t>
      </w:r>
      <w:proofErr w:type="gramEnd"/>
      <w:r w:rsidRPr="00A9447F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النفسي و الاجتماعي ـــ التكفل الصحي ... و ما إلى ذلك من اجراءات و آليات العقاب في إطار السياسة الجنائية الحديثة    </w:t>
      </w:r>
    </w:p>
    <w:p w:rsidR="00F84EE5" w:rsidRPr="00A9447F" w:rsidRDefault="00F84EE5" w:rsidP="00F84EE5">
      <w:pP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</w:p>
    <w:p w:rsidR="00F84EE5" w:rsidRPr="00A9447F" w:rsidRDefault="00F84EE5" w:rsidP="00F84EE5">
      <w:pP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</w:p>
    <w:p w:rsidR="00F84EE5" w:rsidRPr="00A9447F" w:rsidRDefault="00F84EE5" w:rsidP="00F84EE5">
      <w:pP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</w:p>
    <w:p w:rsidR="008206D4" w:rsidRDefault="008206D4"/>
    <w:sectPr w:rsidR="008206D4" w:rsidSect="00687C20">
      <w:footerReference w:type="default" r:id="rId8"/>
      <w:pgSz w:w="11906" w:h="16838"/>
      <w:pgMar w:top="1418" w:right="1701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7" w:rsidRDefault="00661D97" w:rsidP="00F84EE5">
      <w:r>
        <w:separator/>
      </w:r>
    </w:p>
  </w:endnote>
  <w:endnote w:type="continuationSeparator" w:id="0">
    <w:p w:rsidR="00661D97" w:rsidRDefault="00661D97" w:rsidP="00F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7718"/>
      <w:docPartObj>
        <w:docPartGallery w:val="Page Numbers (Bottom of Page)"/>
        <w:docPartUnique/>
      </w:docPartObj>
    </w:sdtPr>
    <w:sdtEndPr/>
    <w:sdtContent>
      <w:p w:rsidR="00161321" w:rsidRDefault="00661D9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EE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61321" w:rsidRDefault="00661D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7" w:rsidRDefault="00661D97" w:rsidP="00F84EE5">
      <w:r>
        <w:separator/>
      </w:r>
    </w:p>
  </w:footnote>
  <w:footnote w:type="continuationSeparator" w:id="0">
    <w:p w:rsidR="00661D97" w:rsidRDefault="00661D97" w:rsidP="00F84EE5">
      <w:r>
        <w:continuationSeparator/>
      </w:r>
    </w:p>
  </w:footnote>
  <w:footnote w:id="1">
    <w:p w:rsidR="00F84EE5" w:rsidRPr="00252E94" w:rsidRDefault="00F84EE5" w:rsidP="00F84EE5">
      <w:pPr>
        <w:pStyle w:val="Notedebasdepage"/>
        <w:jc w:val="right"/>
        <w:rPr>
          <w:b w:val="0"/>
          <w:bCs w:val="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طالع: </w:t>
      </w:r>
      <w:r>
        <w:t xml:space="preserve">                </w:t>
      </w:r>
      <w:r w:rsidRPr="00252E94">
        <w:rPr>
          <w:rFonts w:ascii="Arial" w:hAnsi="Arial" w:cs="Arial"/>
          <w:b w:val="0"/>
          <w:bCs w:val="0"/>
          <w:shd w:val="clear" w:color="auto" w:fill="FFFFFF"/>
        </w:rPr>
        <w:t>texte d'</w:t>
      </w:r>
      <w:r w:rsidRPr="00252E94">
        <w:rPr>
          <w:rStyle w:val="Accentuation"/>
          <w:rFonts w:ascii="Arial" w:hAnsi="Arial" w:cs="Arial"/>
          <w:b w:val="0"/>
          <w:bCs w:val="0"/>
          <w:shd w:val="clear" w:color="auto" w:fill="FFFFFF"/>
        </w:rPr>
        <w:t>Enrico Ferri</w:t>
      </w:r>
      <w:r w:rsidRPr="00252E94">
        <w:rPr>
          <w:rFonts w:ascii="Arial" w:hAnsi="Arial" w:cs="Arial"/>
          <w:b w:val="0"/>
          <w:bCs w:val="0"/>
          <w:shd w:val="clear" w:color="auto" w:fill="FFFFFF"/>
        </w:rPr>
        <w:t> (1856-1929), </w:t>
      </w:r>
      <w:r w:rsidRPr="00252E94">
        <w:rPr>
          <w:rStyle w:val="Accentuation"/>
          <w:rFonts w:ascii="Arial" w:hAnsi="Arial" w:cs="Arial"/>
          <w:b w:val="0"/>
          <w:bCs w:val="0"/>
          <w:shd w:val="clear" w:color="auto" w:fill="FFFFFF"/>
        </w:rPr>
        <w:t>La sociologie criminelle</w:t>
      </w:r>
      <w:r w:rsidRPr="00252E94">
        <w:rPr>
          <w:rFonts w:ascii="Arial" w:hAnsi="Arial" w:cs="Arial"/>
          <w:b w:val="0"/>
          <w:bCs w:val="0"/>
          <w:shd w:val="clear" w:color="auto" w:fill="FFFFFF"/>
        </w:rPr>
        <w:t>. Traduit de l'Italien par</w:t>
      </w:r>
      <w:r>
        <w:rPr>
          <w:rFonts w:ascii="Arial" w:hAnsi="Arial" w:cs="Arial"/>
          <w:b w:val="0"/>
          <w:bCs w:val="0"/>
          <w:shd w:val="clear" w:color="auto" w:fill="FFFFFF"/>
        </w:rPr>
        <w:t xml:space="preserve">       </w:t>
      </w:r>
      <w:r w:rsidRPr="00252E94">
        <w:rPr>
          <w:rFonts w:ascii="Arial" w:hAnsi="Arial" w:cs="Arial"/>
          <w:b w:val="0"/>
          <w:bCs w:val="0"/>
          <w:shd w:val="clear" w:color="auto" w:fill="FFFFFF"/>
        </w:rPr>
        <w:t xml:space="preserve"> Léon </w:t>
      </w:r>
      <w:proofErr w:type="spellStart"/>
      <w:r w:rsidRPr="00252E94">
        <w:rPr>
          <w:rFonts w:ascii="Arial" w:hAnsi="Arial" w:cs="Arial"/>
          <w:b w:val="0"/>
          <w:bCs w:val="0"/>
          <w:shd w:val="clear" w:color="auto" w:fill="FFFFFF"/>
        </w:rPr>
        <w:t>Terrien.Paris</w:t>
      </w:r>
      <w:proofErr w:type="spellEnd"/>
      <w:r w:rsidRPr="00252E94">
        <w:rPr>
          <w:rFonts w:ascii="Arial" w:hAnsi="Arial" w:cs="Arial"/>
          <w:b w:val="0"/>
          <w:bCs w:val="0"/>
          <w:shd w:val="clear" w:color="auto" w:fill="FFFFFF"/>
        </w:rPr>
        <w:t>:</w:t>
      </w:r>
      <w:r>
        <w:rPr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252E94">
        <w:rPr>
          <w:rFonts w:ascii="Arial" w:hAnsi="Arial" w:cs="Arial"/>
          <w:b w:val="0"/>
          <w:bCs w:val="0"/>
          <w:shd w:val="clear" w:color="auto" w:fill="FFFFFF"/>
        </w:rPr>
        <w:t>Une édition électronique </w:t>
      </w:r>
    </w:p>
  </w:footnote>
  <w:footnote w:id="2">
    <w:p w:rsidR="00F84EE5" w:rsidRPr="00161321" w:rsidRDefault="00F84EE5" w:rsidP="00F84EE5">
      <w:pPr>
        <w:pStyle w:val="Notedebasdepage"/>
        <w:bidi w:val="0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t xml:space="preserve">Marc </w:t>
      </w:r>
      <w:proofErr w:type="spellStart"/>
      <w:r>
        <w:t>Ancel</w:t>
      </w:r>
      <w:proofErr w:type="spellEnd"/>
      <w:r>
        <w:t xml:space="preserve">, La </w:t>
      </w:r>
      <w:proofErr w:type="spellStart"/>
      <w:r>
        <w:t>éfence</w:t>
      </w:r>
      <w:proofErr w:type="spellEnd"/>
      <w:r>
        <w:t xml:space="preserve"> sociale nouvelle, 3è 2ition, Cujas, Paris 1981 p 300 - 301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23F"/>
    <w:multiLevelType w:val="hybridMultilevel"/>
    <w:tmpl w:val="AA644F84"/>
    <w:lvl w:ilvl="0" w:tplc="E6C25D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AED"/>
    <w:multiLevelType w:val="hybridMultilevel"/>
    <w:tmpl w:val="D1065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784"/>
    <w:multiLevelType w:val="hybridMultilevel"/>
    <w:tmpl w:val="057479A6"/>
    <w:lvl w:ilvl="0" w:tplc="8CA87A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5"/>
    <w:rsid w:val="00661D97"/>
    <w:rsid w:val="008206D4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E5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EE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4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E5"/>
    <w:rPr>
      <w:rFonts w:ascii="Times New Roman" w:eastAsia="Times New Roman" w:hAnsi="Times New Roman" w:cs="Arabic Transparent"/>
      <w:b/>
      <w:bCs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E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EE5"/>
    <w:rPr>
      <w:rFonts w:ascii="Times New Roman" w:eastAsia="Times New Roman" w:hAnsi="Times New Roman" w:cs="Arabic Transparent"/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EE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F84E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E5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EE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4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E5"/>
    <w:rPr>
      <w:rFonts w:ascii="Times New Roman" w:eastAsia="Times New Roman" w:hAnsi="Times New Roman" w:cs="Arabic Transparent"/>
      <w:b/>
      <w:bCs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E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EE5"/>
    <w:rPr>
      <w:rFonts w:ascii="Times New Roman" w:eastAsia="Times New Roman" w:hAnsi="Times New Roman" w:cs="Arabic Transparent"/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EE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F84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2021-02-21T21:23:00Z</dcterms:created>
  <dcterms:modified xsi:type="dcterms:W3CDTF">2021-02-21T21:25:00Z</dcterms:modified>
</cp:coreProperties>
</file>