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88" w:rsidRPr="00690C88" w:rsidRDefault="00656CC6" w:rsidP="00690C88">
      <w:pPr>
        <w:bidi/>
        <w:rPr>
          <w:rFonts w:ascii="Times New Roman" w:eastAsia="Calibri" w:hAnsi="Times New Roman" w:cs="Times New Roman"/>
          <w:b/>
          <w:bCs/>
          <w:sz w:val="32"/>
          <w:szCs w:val="32"/>
          <w:rtl/>
          <w:lang w:bidi="ar-DZ"/>
        </w:rPr>
      </w:pPr>
      <w:r>
        <w:rPr>
          <w:rFonts w:ascii="Times New Roman" w:eastAsia="Calibri" w:hAnsi="Times New Roman" w:cs="Times New Roman" w:hint="cs"/>
          <w:b/>
          <w:bCs/>
          <w:sz w:val="32"/>
          <w:szCs w:val="32"/>
          <w:rtl/>
          <w:lang w:bidi="ar-DZ"/>
        </w:rPr>
        <w:t>السنة الثانية ماستر</w:t>
      </w:r>
      <w:r w:rsidR="00690C88" w:rsidRPr="00690C88">
        <w:rPr>
          <w:rFonts w:ascii="Times New Roman" w:eastAsia="Calibri" w:hAnsi="Times New Roman" w:cs="Times New Roman" w:hint="cs"/>
          <w:b/>
          <w:bCs/>
          <w:sz w:val="32"/>
          <w:szCs w:val="32"/>
          <w:rtl/>
          <w:lang w:bidi="ar-DZ"/>
        </w:rPr>
        <w:br/>
        <w:t>تخصص ا</w:t>
      </w:r>
      <w:r>
        <w:rPr>
          <w:rFonts w:ascii="Times New Roman" w:eastAsia="Calibri" w:hAnsi="Times New Roman" w:cs="Times New Roman" w:hint="cs"/>
          <w:b/>
          <w:bCs/>
          <w:sz w:val="32"/>
          <w:szCs w:val="32"/>
          <w:rtl/>
          <w:lang w:bidi="ar-DZ"/>
        </w:rPr>
        <w:t>لقانون الخاص</w:t>
      </w:r>
      <w:r w:rsidR="00690C88" w:rsidRPr="00690C88">
        <w:rPr>
          <w:rFonts w:ascii="Times New Roman" w:eastAsia="Calibri" w:hAnsi="Times New Roman" w:cs="Times New Roman"/>
          <w:b/>
          <w:bCs/>
          <w:sz w:val="32"/>
          <w:szCs w:val="32"/>
          <w:rtl/>
          <w:lang w:bidi="ar-DZ"/>
        </w:rPr>
        <w:br/>
      </w:r>
      <w:r>
        <w:rPr>
          <w:rFonts w:ascii="Times New Roman" w:eastAsia="Calibri" w:hAnsi="Times New Roman" w:cs="Times New Roman" w:hint="cs"/>
          <w:b/>
          <w:bCs/>
          <w:sz w:val="32"/>
          <w:szCs w:val="32"/>
          <w:rtl/>
          <w:lang w:bidi="ar-DZ"/>
        </w:rPr>
        <w:t>مقياس القانون الجنائي للأسرة</w:t>
      </w:r>
      <w:r w:rsidR="00690C88" w:rsidRPr="00690C88">
        <w:rPr>
          <w:rFonts w:ascii="Times New Roman" w:eastAsia="Calibri" w:hAnsi="Times New Roman" w:cs="Times New Roman"/>
          <w:b/>
          <w:bCs/>
          <w:sz w:val="32"/>
          <w:szCs w:val="32"/>
          <w:rtl/>
          <w:lang w:bidi="ar-DZ"/>
        </w:rPr>
        <w:br/>
      </w:r>
      <w:r w:rsidR="00690C88" w:rsidRPr="00690C88">
        <w:rPr>
          <w:rFonts w:ascii="Times New Roman" w:eastAsia="Calibri" w:hAnsi="Times New Roman" w:cs="Times New Roman" w:hint="cs"/>
          <w:b/>
          <w:bCs/>
          <w:sz w:val="32"/>
          <w:szCs w:val="32"/>
          <w:rtl/>
          <w:lang w:bidi="ar-DZ"/>
        </w:rPr>
        <w:t xml:space="preserve">أستاذ  المقياس </w:t>
      </w:r>
      <w:r>
        <w:rPr>
          <w:rFonts w:ascii="Times New Roman" w:eastAsia="Calibri" w:hAnsi="Times New Roman" w:cs="Times New Roman" w:hint="cs"/>
          <w:b/>
          <w:bCs/>
          <w:sz w:val="32"/>
          <w:szCs w:val="32"/>
          <w:rtl/>
          <w:lang w:bidi="ar-DZ"/>
        </w:rPr>
        <w:t xml:space="preserve">عدة </w:t>
      </w:r>
      <w:r w:rsidR="00690C88" w:rsidRPr="00690C88">
        <w:rPr>
          <w:rFonts w:ascii="Times New Roman" w:eastAsia="Calibri" w:hAnsi="Times New Roman" w:cs="Times New Roman" w:hint="cs"/>
          <w:b/>
          <w:bCs/>
          <w:sz w:val="32"/>
          <w:szCs w:val="32"/>
          <w:rtl/>
          <w:lang w:bidi="ar-DZ"/>
        </w:rPr>
        <w:t>جلول محمد</w:t>
      </w:r>
    </w:p>
    <w:p w:rsidR="00690C88" w:rsidRDefault="00690C88" w:rsidP="00690C88">
      <w:pPr>
        <w:bidi/>
        <w:jc w:val="center"/>
        <w:rPr>
          <w:rFonts w:ascii="Times New Roman" w:eastAsia="Calibri" w:hAnsi="Times New Roman" w:cs="Times New Roman"/>
          <w:b/>
          <w:bCs/>
          <w:sz w:val="32"/>
          <w:szCs w:val="32"/>
          <w:u w:val="single"/>
          <w:rtl/>
          <w:lang w:bidi="ar-DZ"/>
        </w:rPr>
      </w:pPr>
      <w:proofErr w:type="gramStart"/>
      <w:r>
        <w:rPr>
          <w:rFonts w:ascii="Times New Roman" w:eastAsia="Calibri" w:hAnsi="Times New Roman" w:cs="Times New Roman" w:hint="cs"/>
          <w:b/>
          <w:bCs/>
          <w:sz w:val="32"/>
          <w:szCs w:val="32"/>
          <w:u w:val="single"/>
          <w:rtl/>
          <w:lang w:bidi="ar-DZ"/>
        </w:rPr>
        <w:t>المحاضرة</w:t>
      </w:r>
      <w:proofErr w:type="gramEnd"/>
      <w:r>
        <w:rPr>
          <w:rFonts w:ascii="Times New Roman" w:eastAsia="Calibri" w:hAnsi="Times New Roman" w:cs="Times New Roman" w:hint="cs"/>
          <w:b/>
          <w:bCs/>
          <w:sz w:val="32"/>
          <w:szCs w:val="32"/>
          <w:u w:val="single"/>
          <w:rtl/>
          <w:lang w:bidi="ar-DZ"/>
        </w:rPr>
        <w:t xml:space="preserve"> الثانية</w:t>
      </w:r>
    </w:p>
    <w:p w:rsidR="00690C88" w:rsidRDefault="00652318" w:rsidP="007D73D9">
      <w:pPr>
        <w:bidi/>
        <w:rPr>
          <w:rFonts w:ascii="Times New Roman" w:eastAsia="Calibri" w:hAnsi="Times New Roman" w:cs="Times New Roman"/>
          <w:sz w:val="32"/>
          <w:szCs w:val="32"/>
          <w:rtl/>
          <w:lang w:bidi="ar-DZ"/>
        </w:rPr>
      </w:pPr>
      <w:r>
        <w:rPr>
          <w:rFonts w:ascii="Times New Roman" w:eastAsia="Calibri" w:hAnsi="Times New Roman" w:cs="Times New Roman" w:hint="cs"/>
          <w:b/>
          <w:bCs/>
          <w:sz w:val="32"/>
          <w:szCs w:val="32"/>
          <w:rtl/>
          <w:lang w:bidi="ar-DZ"/>
        </w:rPr>
        <w:t xml:space="preserve">2. </w:t>
      </w:r>
      <w:r w:rsidR="00690C88">
        <w:rPr>
          <w:rFonts w:ascii="Times New Roman" w:eastAsia="Calibri" w:hAnsi="Times New Roman" w:cs="Times New Roman" w:hint="cs"/>
          <w:b/>
          <w:bCs/>
          <w:sz w:val="32"/>
          <w:szCs w:val="32"/>
          <w:u w:val="single"/>
          <w:rtl/>
          <w:lang w:bidi="ar-DZ"/>
        </w:rPr>
        <w:t>التخلي عن الزوجة الحامل</w:t>
      </w:r>
      <w:r w:rsidR="007D73D9">
        <w:rPr>
          <w:rFonts w:ascii="Times New Roman" w:eastAsia="Calibri" w:hAnsi="Times New Roman" w:cs="Times New Roman" w:hint="cs"/>
          <w:sz w:val="32"/>
          <w:szCs w:val="32"/>
          <w:rtl/>
          <w:lang w:bidi="ar-DZ"/>
        </w:rPr>
        <w:t xml:space="preserve"> هذه الجريمة المنصوص </w:t>
      </w:r>
      <w:proofErr w:type="gramStart"/>
      <w:r w:rsidR="007D73D9">
        <w:rPr>
          <w:rFonts w:ascii="Times New Roman" w:eastAsia="Calibri" w:hAnsi="Times New Roman" w:cs="Times New Roman" w:hint="cs"/>
          <w:sz w:val="32"/>
          <w:szCs w:val="32"/>
          <w:rtl/>
          <w:lang w:bidi="ar-DZ"/>
        </w:rPr>
        <w:t>عليها</w:t>
      </w:r>
      <w:proofErr w:type="gramEnd"/>
      <w:r w:rsidR="007D73D9">
        <w:rPr>
          <w:rFonts w:ascii="Times New Roman" w:eastAsia="Calibri" w:hAnsi="Times New Roman" w:cs="Times New Roman" w:hint="cs"/>
          <w:sz w:val="32"/>
          <w:szCs w:val="32"/>
          <w:rtl/>
          <w:lang w:bidi="ar-DZ"/>
        </w:rPr>
        <w:t xml:space="preserve"> في المادة 330/2 تقوم على أركان مادية و ركن معنوي.</w:t>
      </w:r>
    </w:p>
    <w:p w:rsidR="007D73D9" w:rsidRDefault="007D73D9" w:rsidP="007D73D9">
      <w:pPr>
        <w:bidi/>
        <w:rPr>
          <w:rFonts w:ascii="Times New Roman" w:eastAsia="Calibri" w:hAnsi="Times New Roman" w:cs="Times New Roman"/>
          <w:b/>
          <w:bCs/>
          <w:sz w:val="32"/>
          <w:szCs w:val="32"/>
          <w:rtl/>
          <w:lang w:bidi="ar-DZ"/>
        </w:rPr>
      </w:pPr>
      <w:r>
        <w:rPr>
          <w:rFonts w:ascii="Times New Roman" w:eastAsia="Calibri" w:hAnsi="Times New Roman" w:cs="Times New Roman" w:hint="cs"/>
          <w:b/>
          <w:bCs/>
          <w:sz w:val="32"/>
          <w:szCs w:val="32"/>
          <w:rtl/>
          <w:lang w:bidi="ar-DZ"/>
        </w:rPr>
        <w:t>الأركان المادية للجريمة:</w:t>
      </w:r>
    </w:p>
    <w:p w:rsidR="00233702" w:rsidRPr="00233702" w:rsidRDefault="007D73D9" w:rsidP="007D73D9">
      <w:pPr>
        <w:pStyle w:val="Paragraphedeliste"/>
        <w:numPr>
          <w:ilvl w:val="0"/>
          <w:numId w:val="1"/>
        </w:numPr>
        <w:bidi/>
        <w:rPr>
          <w:rFonts w:ascii="Times New Roman" w:eastAsia="Calibri" w:hAnsi="Times New Roman" w:cs="Times New Roman"/>
          <w:sz w:val="32"/>
          <w:szCs w:val="32"/>
          <w:u w:val="single"/>
          <w:lang w:bidi="ar-DZ"/>
        </w:rPr>
      </w:pPr>
      <w:r>
        <w:rPr>
          <w:rFonts w:ascii="Times New Roman" w:eastAsia="Calibri" w:hAnsi="Times New Roman" w:cs="Times New Roman" w:hint="cs"/>
          <w:sz w:val="32"/>
          <w:szCs w:val="32"/>
          <w:u w:val="single"/>
          <w:rtl/>
          <w:lang w:bidi="ar-DZ"/>
        </w:rPr>
        <w:t>صفة الرجل المتزوج:</w:t>
      </w:r>
      <w:r>
        <w:rPr>
          <w:rFonts w:ascii="Times New Roman" w:eastAsia="Calibri" w:hAnsi="Times New Roman" w:cs="Times New Roman" w:hint="cs"/>
          <w:sz w:val="32"/>
          <w:szCs w:val="32"/>
          <w:rtl/>
          <w:lang w:bidi="ar-DZ"/>
        </w:rPr>
        <w:t xml:space="preserve"> تتحدث المادة 330/2 عن الصفة الكافية لقيام الجريمة و إن لم يكن للزوج و</w:t>
      </w:r>
      <w:r w:rsidR="00656CC6">
        <w:rPr>
          <w:rFonts w:ascii="Times New Roman" w:eastAsia="Calibri" w:hAnsi="Times New Roman" w:cs="Times New Roman" w:hint="cs"/>
          <w:sz w:val="32"/>
          <w:szCs w:val="32"/>
          <w:rtl/>
          <w:lang w:bidi="ar-DZ"/>
        </w:rPr>
        <w:t>لد و تظل هذه الجريمة قائمة و من هنا</w:t>
      </w:r>
      <w:r>
        <w:rPr>
          <w:rFonts w:ascii="Times New Roman" w:eastAsia="Calibri" w:hAnsi="Times New Roman" w:cs="Times New Roman" w:hint="cs"/>
          <w:sz w:val="32"/>
          <w:szCs w:val="32"/>
          <w:rtl/>
          <w:lang w:bidi="ar-DZ"/>
        </w:rPr>
        <w:t xml:space="preserve"> يثار التساؤل حول </w:t>
      </w:r>
      <w:r w:rsidR="00656CC6">
        <w:rPr>
          <w:rFonts w:ascii="Times New Roman" w:eastAsia="Calibri" w:hAnsi="Times New Roman" w:cs="Times New Roman" w:hint="cs"/>
          <w:sz w:val="32"/>
          <w:szCs w:val="32"/>
          <w:rtl/>
          <w:lang w:bidi="ar-DZ"/>
        </w:rPr>
        <w:t xml:space="preserve">الزواج </w:t>
      </w:r>
      <w:r>
        <w:rPr>
          <w:rFonts w:ascii="Times New Roman" w:eastAsia="Calibri" w:hAnsi="Times New Roman" w:cs="Times New Roman" w:hint="cs"/>
          <w:sz w:val="32"/>
          <w:szCs w:val="32"/>
          <w:rtl/>
          <w:lang w:bidi="ar-DZ"/>
        </w:rPr>
        <w:t>العرفي ‘فهل يعتد به  لقيام الجريمة أم أن يشترط زواج رسمي مقيد بسجلات الحالة المدنية و هذا عملا بأحكام</w:t>
      </w:r>
      <w:r w:rsidR="00233702">
        <w:rPr>
          <w:rFonts w:ascii="Times New Roman" w:eastAsia="Calibri" w:hAnsi="Times New Roman" w:cs="Times New Roman" w:hint="cs"/>
          <w:sz w:val="32"/>
          <w:szCs w:val="32"/>
          <w:rtl/>
          <w:lang w:bidi="ar-DZ"/>
        </w:rPr>
        <w:t xml:space="preserve"> المادة 22 من قانون الأسرة و من ثمة لا تقوم الجريمة في هذه الحالة (الزواج العرفي) ما لم يثبت بحكم قضائي إذا توافرت أركانه وفقا لقانون الأسرة ،و يستخلص من هذا أنه يتعين على الزوجة التي تزوجت عرفيا أن تعمل على تسجيله في الحالة المدنية باتباع الطريق القانوني قبل تقديم شكواها و متى تبث هذا الزواج فان الجريمة تكون قائمة في حق الزوج من تاريخ حملها و ليس من تاريخ تثبيت الزواج و تسجيله في الحالة المدنية.</w:t>
      </w:r>
    </w:p>
    <w:p w:rsidR="00105990" w:rsidRPr="00105990" w:rsidRDefault="00233702" w:rsidP="00233702">
      <w:pPr>
        <w:pStyle w:val="Paragraphedeliste"/>
        <w:numPr>
          <w:ilvl w:val="0"/>
          <w:numId w:val="1"/>
        </w:numPr>
        <w:bidi/>
        <w:rPr>
          <w:rFonts w:ascii="Times New Roman" w:eastAsia="Calibri" w:hAnsi="Times New Roman" w:cs="Times New Roman"/>
          <w:sz w:val="32"/>
          <w:szCs w:val="32"/>
          <w:u w:val="single"/>
          <w:lang w:bidi="ar-DZ"/>
        </w:rPr>
      </w:pPr>
      <w:r>
        <w:rPr>
          <w:rFonts w:ascii="Times New Roman" w:eastAsia="Calibri" w:hAnsi="Times New Roman" w:cs="Times New Roman" w:hint="cs"/>
          <w:sz w:val="32"/>
          <w:szCs w:val="32"/>
          <w:u w:val="single"/>
          <w:rtl/>
          <w:lang w:bidi="ar-DZ"/>
        </w:rPr>
        <w:t>ترك محل الأسرة:</w:t>
      </w:r>
      <w:r>
        <w:rPr>
          <w:rFonts w:ascii="Times New Roman" w:eastAsia="Calibri" w:hAnsi="Times New Roman" w:cs="Times New Roman" w:hint="cs"/>
          <w:sz w:val="32"/>
          <w:szCs w:val="32"/>
          <w:rtl/>
          <w:lang w:bidi="ar-DZ"/>
        </w:rPr>
        <w:t xml:space="preserve"> يجب على الزوج أن يغادر محل الزوجية و هو مقر إقامة الزوجين الذي </w:t>
      </w:r>
      <w:proofErr w:type="spellStart"/>
      <w:r>
        <w:rPr>
          <w:rFonts w:ascii="Times New Roman" w:eastAsia="Calibri" w:hAnsi="Times New Roman" w:cs="Times New Roman" w:hint="cs"/>
          <w:sz w:val="32"/>
          <w:szCs w:val="32"/>
          <w:rtl/>
          <w:lang w:bidi="ar-DZ"/>
        </w:rPr>
        <w:t>إختاره</w:t>
      </w:r>
      <w:proofErr w:type="spellEnd"/>
      <w:r>
        <w:rPr>
          <w:rFonts w:ascii="Times New Roman" w:eastAsia="Calibri" w:hAnsi="Times New Roman" w:cs="Times New Roman" w:hint="cs"/>
          <w:sz w:val="32"/>
          <w:szCs w:val="32"/>
          <w:rtl/>
          <w:lang w:bidi="ar-DZ"/>
        </w:rPr>
        <w:t xml:space="preserve"> الزوج عند الزواج و </w:t>
      </w:r>
      <w:r w:rsidR="00105990">
        <w:rPr>
          <w:rFonts w:ascii="Times New Roman" w:eastAsia="Calibri" w:hAnsi="Times New Roman" w:cs="Times New Roman" w:hint="cs"/>
          <w:sz w:val="32"/>
          <w:szCs w:val="32"/>
          <w:rtl/>
          <w:lang w:bidi="ar-DZ"/>
        </w:rPr>
        <w:t xml:space="preserve">من </w:t>
      </w:r>
      <w:r>
        <w:rPr>
          <w:rFonts w:ascii="Times New Roman" w:eastAsia="Calibri" w:hAnsi="Times New Roman" w:cs="Times New Roman" w:hint="cs"/>
          <w:sz w:val="32"/>
          <w:szCs w:val="32"/>
          <w:rtl/>
          <w:lang w:bidi="ar-DZ"/>
        </w:rPr>
        <w:t xml:space="preserve">ثم لا تقوم التهمة في حق الزوج إذا ما غادرت الزوجة محل الزوجية و </w:t>
      </w:r>
      <w:proofErr w:type="spellStart"/>
      <w:r>
        <w:rPr>
          <w:rFonts w:ascii="Times New Roman" w:eastAsia="Calibri" w:hAnsi="Times New Roman" w:cs="Times New Roman" w:hint="cs"/>
          <w:sz w:val="32"/>
          <w:szCs w:val="32"/>
          <w:rtl/>
          <w:lang w:bidi="ar-DZ"/>
        </w:rPr>
        <w:t>إستقرت</w:t>
      </w:r>
      <w:proofErr w:type="spellEnd"/>
      <w:r>
        <w:rPr>
          <w:rFonts w:ascii="Times New Roman" w:eastAsia="Calibri" w:hAnsi="Times New Roman" w:cs="Times New Roman" w:hint="cs"/>
          <w:sz w:val="32"/>
          <w:szCs w:val="32"/>
          <w:rtl/>
          <w:lang w:bidi="ar-DZ"/>
        </w:rPr>
        <w:t xml:space="preserve"> عند أهلها</w:t>
      </w:r>
      <w:r w:rsidR="00105990">
        <w:rPr>
          <w:rFonts w:ascii="Times New Roman" w:eastAsia="Calibri" w:hAnsi="Times New Roman" w:cs="Times New Roman" w:hint="cs"/>
          <w:sz w:val="32"/>
          <w:szCs w:val="32"/>
          <w:rtl/>
          <w:lang w:bidi="ar-DZ"/>
        </w:rPr>
        <w:t>.</w:t>
      </w:r>
    </w:p>
    <w:p w:rsidR="00105990" w:rsidRPr="00105990" w:rsidRDefault="00105990" w:rsidP="00105990">
      <w:pPr>
        <w:pStyle w:val="Paragraphedeliste"/>
        <w:numPr>
          <w:ilvl w:val="0"/>
          <w:numId w:val="1"/>
        </w:numPr>
        <w:bidi/>
        <w:rPr>
          <w:rFonts w:ascii="Times New Roman" w:eastAsia="Calibri" w:hAnsi="Times New Roman" w:cs="Times New Roman"/>
          <w:sz w:val="32"/>
          <w:szCs w:val="32"/>
          <w:u w:val="single"/>
          <w:lang w:bidi="ar-DZ"/>
        </w:rPr>
      </w:pPr>
      <w:proofErr w:type="gramStart"/>
      <w:r>
        <w:rPr>
          <w:rFonts w:ascii="Times New Roman" w:eastAsia="Calibri" w:hAnsi="Times New Roman" w:cs="Times New Roman" w:hint="cs"/>
          <w:sz w:val="32"/>
          <w:szCs w:val="32"/>
          <w:u w:val="single"/>
          <w:rtl/>
          <w:lang w:bidi="ar-DZ"/>
        </w:rPr>
        <w:t>ترك</w:t>
      </w:r>
      <w:proofErr w:type="gramEnd"/>
      <w:r>
        <w:rPr>
          <w:rFonts w:ascii="Times New Roman" w:eastAsia="Calibri" w:hAnsi="Times New Roman" w:cs="Times New Roman" w:hint="cs"/>
          <w:sz w:val="32"/>
          <w:szCs w:val="32"/>
          <w:u w:val="single"/>
          <w:rtl/>
          <w:lang w:bidi="ar-DZ"/>
        </w:rPr>
        <w:t xml:space="preserve"> محل الزوجية لمدة أكثر من شهرين:</w:t>
      </w:r>
      <w:r>
        <w:rPr>
          <w:rFonts w:ascii="Times New Roman" w:eastAsia="Calibri" w:hAnsi="Times New Roman" w:cs="Times New Roman" w:hint="cs"/>
          <w:sz w:val="32"/>
          <w:szCs w:val="32"/>
          <w:rtl/>
          <w:lang w:bidi="ar-DZ"/>
        </w:rPr>
        <w:t xml:space="preserve"> يجب أن يتم هذا التخلي عن الزوجة الحامل أكثر من شهرين.</w:t>
      </w:r>
    </w:p>
    <w:p w:rsidR="00105990" w:rsidRPr="00105990" w:rsidRDefault="00105990" w:rsidP="00105990">
      <w:pPr>
        <w:pStyle w:val="Paragraphedeliste"/>
        <w:numPr>
          <w:ilvl w:val="0"/>
          <w:numId w:val="1"/>
        </w:numPr>
        <w:bidi/>
        <w:rPr>
          <w:rFonts w:ascii="Times New Roman" w:eastAsia="Calibri" w:hAnsi="Times New Roman" w:cs="Times New Roman"/>
          <w:sz w:val="32"/>
          <w:szCs w:val="32"/>
          <w:u w:val="single"/>
          <w:lang w:bidi="ar-DZ"/>
        </w:rPr>
      </w:pPr>
      <w:r>
        <w:rPr>
          <w:rFonts w:ascii="Times New Roman" w:eastAsia="Calibri" w:hAnsi="Times New Roman" w:cs="Times New Roman" w:hint="cs"/>
          <w:sz w:val="32"/>
          <w:szCs w:val="32"/>
          <w:u w:val="single"/>
          <w:rtl/>
          <w:lang w:bidi="ar-DZ"/>
        </w:rPr>
        <w:t>حمل الزوجة:</w:t>
      </w:r>
      <w:r>
        <w:rPr>
          <w:rFonts w:ascii="Times New Roman" w:eastAsia="Calibri" w:hAnsi="Times New Roman" w:cs="Times New Roman" w:hint="cs"/>
          <w:sz w:val="32"/>
          <w:szCs w:val="32"/>
          <w:rtl/>
          <w:lang w:bidi="ar-DZ"/>
        </w:rPr>
        <w:t xml:space="preserve"> يجب أن تكون الزوجة </w:t>
      </w:r>
      <w:proofErr w:type="spellStart"/>
      <w:r>
        <w:rPr>
          <w:rFonts w:ascii="Times New Roman" w:eastAsia="Calibri" w:hAnsi="Times New Roman" w:cs="Times New Roman" w:hint="cs"/>
          <w:sz w:val="32"/>
          <w:szCs w:val="32"/>
          <w:rtl/>
          <w:lang w:bidi="ar-DZ"/>
        </w:rPr>
        <w:t>المتخلى</w:t>
      </w:r>
      <w:proofErr w:type="spellEnd"/>
      <w:r>
        <w:rPr>
          <w:rFonts w:ascii="Times New Roman" w:eastAsia="Calibri" w:hAnsi="Times New Roman" w:cs="Times New Roman" w:hint="cs"/>
          <w:sz w:val="32"/>
          <w:szCs w:val="32"/>
          <w:rtl/>
          <w:lang w:bidi="ar-DZ"/>
        </w:rPr>
        <w:t xml:space="preserve"> عنها حامل و المشرع لا يبحث عن الزوجة المفترض حملها و إنما يبحث عن الزوجة الحامل وعليه أن يكون الحمل مثبتا و أن يكون الزوج على علم به ،و خلافا لجنحة ترك مقر الأسرة لا يشترط المشرع في هذه الجنحة عدم الوفاء بالالتزامات العائلية ذلك أن غاية المشرع من تجريم هذا الفعل هي حماية الطفل المقبل ولادته.</w:t>
      </w:r>
    </w:p>
    <w:p w:rsidR="00105990" w:rsidRDefault="00105990" w:rsidP="00105990">
      <w:pPr>
        <w:bidi/>
        <w:rPr>
          <w:rFonts w:ascii="Times New Roman" w:eastAsia="Calibri" w:hAnsi="Times New Roman" w:cs="Times New Roman"/>
          <w:b/>
          <w:bCs/>
          <w:sz w:val="32"/>
          <w:szCs w:val="32"/>
          <w:rtl/>
          <w:lang w:bidi="ar-DZ"/>
        </w:rPr>
      </w:pPr>
    </w:p>
    <w:p w:rsidR="00105990" w:rsidRDefault="00105990" w:rsidP="00105990">
      <w:pPr>
        <w:bidi/>
        <w:rPr>
          <w:rFonts w:ascii="Times New Roman" w:eastAsia="Calibri" w:hAnsi="Times New Roman" w:cs="Times New Roman"/>
          <w:b/>
          <w:bCs/>
          <w:sz w:val="32"/>
          <w:szCs w:val="32"/>
          <w:rtl/>
          <w:lang w:bidi="ar-DZ"/>
        </w:rPr>
      </w:pPr>
    </w:p>
    <w:p w:rsidR="00105990" w:rsidRDefault="00105990" w:rsidP="00105990">
      <w:pPr>
        <w:bidi/>
        <w:rPr>
          <w:rFonts w:ascii="Times New Roman" w:eastAsia="Calibri" w:hAnsi="Times New Roman" w:cs="Times New Roman"/>
          <w:b/>
          <w:bCs/>
          <w:sz w:val="32"/>
          <w:szCs w:val="32"/>
          <w:rtl/>
          <w:lang w:bidi="ar-DZ"/>
        </w:rPr>
      </w:pPr>
      <w:proofErr w:type="gramStart"/>
      <w:r>
        <w:rPr>
          <w:rFonts w:ascii="Times New Roman" w:eastAsia="Calibri" w:hAnsi="Times New Roman" w:cs="Times New Roman" w:hint="cs"/>
          <w:b/>
          <w:bCs/>
          <w:sz w:val="32"/>
          <w:szCs w:val="32"/>
          <w:rtl/>
          <w:lang w:bidi="ar-DZ"/>
        </w:rPr>
        <w:lastRenderedPageBreak/>
        <w:t>الركن</w:t>
      </w:r>
      <w:proofErr w:type="gramEnd"/>
      <w:r>
        <w:rPr>
          <w:rFonts w:ascii="Times New Roman" w:eastAsia="Calibri" w:hAnsi="Times New Roman" w:cs="Times New Roman" w:hint="cs"/>
          <w:b/>
          <w:bCs/>
          <w:sz w:val="32"/>
          <w:szCs w:val="32"/>
          <w:rtl/>
          <w:lang w:bidi="ar-DZ"/>
        </w:rPr>
        <w:t xml:space="preserve"> المعنوي</w:t>
      </w:r>
    </w:p>
    <w:p w:rsidR="007D73D9" w:rsidRDefault="00105990" w:rsidP="00105990">
      <w:pPr>
        <w:bidi/>
        <w:rPr>
          <w:rFonts w:ascii="Times New Roman" w:eastAsia="Calibri" w:hAnsi="Times New Roman" w:cs="Times New Roman"/>
          <w:sz w:val="32"/>
          <w:szCs w:val="32"/>
          <w:rtl/>
          <w:lang w:bidi="ar-DZ"/>
        </w:rPr>
      </w:pPr>
      <w:r>
        <w:rPr>
          <w:rFonts w:ascii="Times New Roman" w:eastAsia="Calibri" w:hAnsi="Times New Roman" w:cs="Times New Roman" w:hint="cs"/>
          <w:sz w:val="32"/>
          <w:szCs w:val="32"/>
          <w:rtl/>
          <w:lang w:bidi="ar-DZ"/>
        </w:rPr>
        <w:t>جنحة ترك الزوجة الحامل هي جنحة عمدية تتطلب لقيامها توافر القصد الجنائي الذي يتمثل في العلم لأن الزوجة حامل و تم التخلي عنها عمدا و مثلما هو الحال بالنسبة لترك مقر الأسرة جعل المشرع من السبب الجدي فعلا مبررا للتخلي عن الزوجة.</w:t>
      </w:r>
      <w:r w:rsidR="007D73D9" w:rsidRPr="00105990">
        <w:rPr>
          <w:rFonts w:ascii="Times New Roman" w:eastAsia="Calibri" w:hAnsi="Times New Roman" w:cs="Times New Roman" w:hint="cs"/>
          <w:sz w:val="32"/>
          <w:szCs w:val="32"/>
          <w:rtl/>
          <w:lang w:bidi="ar-DZ"/>
        </w:rPr>
        <w:t xml:space="preserve"> </w:t>
      </w:r>
    </w:p>
    <w:p w:rsidR="007978C2" w:rsidRDefault="007978C2" w:rsidP="00105990">
      <w:pPr>
        <w:bidi/>
        <w:rPr>
          <w:rFonts w:ascii="Times New Roman" w:eastAsia="Calibri" w:hAnsi="Times New Roman" w:cs="Times New Roman"/>
          <w:b/>
          <w:bCs/>
          <w:sz w:val="32"/>
          <w:szCs w:val="32"/>
          <w:rtl/>
          <w:lang w:bidi="ar-DZ"/>
        </w:rPr>
      </w:pPr>
    </w:p>
    <w:p w:rsidR="00105990" w:rsidRDefault="00652318" w:rsidP="007978C2">
      <w:pPr>
        <w:bidi/>
        <w:rPr>
          <w:rFonts w:ascii="Times New Roman" w:eastAsia="Calibri" w:hAnsi="Times New Roman" w:cs="Times New Roman"/>
          <w:sz w:val="32"/>
          <w:szCs w:val="32"/>
          <w:rtl/>
          <w:lang w:bidi="ar-DZ"/>
        </w:rPr>
      </w:pPr>
      <w:r>
        <w:rPr>
          <w:rFonts w:ascii="Times New Roman" w:eastAsia="Calibri" w:hAnsi="Times New Roman" w:cs="Times New Roman" w:hint="cs"/>
          <w:b/>
          <w:bCs/>
          <w:sz w:val="32"/>
          <w:szCs w:val="32"/>
          <w:rtl/>
          <w:lang w:bidi="ar-DZ"/>
        </w:rPr>
        <w:t xml:space="preserve">3. </w:t>
      </w:r>
      <w:r w:rsidR="00105990" w:rsidRPr="00652318">
        <w:rPr>
          <w:rFonts w:ascii="Times New Roman" w:eastAsia="Calibri" w:hAnsi="Times New Roman" w:cs="Times New Roman" w:hint="cs"/>
          <w:b/>
          <w:bCs/>
          <w:sz w:val="32"/>
          <w:szCs w:val="32"/>
          <w:u w:val="single"/>
          <w:rtl/>
          <w:lang w:bidi="ar-DZ"/>
        </w:rPr>
        <w:t>جريمة الاهمال المعنوي</w:t>
      </w:r>
      <w:r w:rsidR="00105990">
        <w:rPr>
          <w:rFonts w:ascii="Times New Roman" w:eastAsia="Calibri" w:hAnsi="Times New Roman" w:cs="Times New Roman" w:hint="cs"/>
          <w:sz w:val="32"/>
          <w:szCs w:val="32"/>
          <w:rtl/>
          <w:lang w:bidi="ar-DZ"/>
        </w:rPr>
        <w:t xml:space="preserve"> و هو الفعل المنصوص و المعاقب عليه في المادة 330/3 من قانون العقوبات </w:t>
      </w:r>
      <w:r w:rsidR="007978C2">
        <w:rPr>
          <w:rFonts w:ascii="Times New Roman" w:eastAsia="Calibri" w:hAnsi="Times New Roman" w:cs="Times New Roman" w:hint="cs"/>
          <w:sz w:val="32"/>
          <w:szCs w:val="32"/>
          <w:rtl/>
          <w:lang w:bidi="ar-DZ"/>
        </w:rPr>
        <w:t>و تتكون هذه الجريمة من ثلاث أركان مادية في حين لم تشير الم</w:t>
      </w:r>
      <w:bookmarkStart w:id="0" w:name="_GoBack"/>
      <w:bookmarkEnd w:id="0"/>
      <w:r w:rsidR="007978C2">
        <w:rPr>
          <w:rFonts w:ascii="Times New Roman" w:eastAsia="Calibri" w:hAnsi="Times New Roman" w:cs="Times New Roman" w:hint="cs"/>
          <w:sz w:val="32"/>
          <w:szCs w:val="32"/>
          <w:rtl/>
          <w:lang w:bidi="ar-DZ"/>
        </w:rPr>
        <w:t>ادة 330/3 إلى الركن المعنوي.</w:t>
      </w:r>
    </w:p>
    <w:p w:rsidR="007978C2" w:rsidRDefault="007978C2" w:rsidP="007978C2">
      <w:pPr>
        <w:bidi/>
        <w:rPr>
          <w:rFonts w:ascii="Times New Roman" w:eastAsia="Calibri" w:hAnsi="Times New Roman" w:cs="Times New Roman"/>
          <w:sz w:val="32"/>
          <w:szCs w:val="32"/>
          <w:rtl/>
          <w:lang w:bidi="ar-DZ"/>
        </w:rPr>
      </w:pPr>
      <w:r>
        <w:rPr>
          <w:rFonts w:ascii="Times New Roman" w:eastAsia="Calibri" w:hAnsi="Times New Roman" w:cs="Times New Roman" w:hint="cs"/>
          <w:b/>
          <w:bCs/>
          <w:sz w:val="32"/>
          <w:szCs w:val="32"/>
          <w:rtl/>
          <w:lang w:bidi="ar-DZ"/>
        </w:rPr>
        <w:t>الركن المادي:</w:t>
      </w:r>
      <w:r>
        <w:rPr>
          <w:rFonts w:ascii="Times New Roman" w:eastAsia="Calibri" w:hAnsi="Times New Roman" w:cs="Times New Roman" w:hint="cs"/>
          <w:sz w:val="32"/>
          <w:szCs w:val="32"/>
          <w:rtl/>
          <w:lang w:bidi="ar-DZ"/>
        </w:rPr>
        <w:t xml:space="preserve"> يتحلل إلى 03 عناصر: صفة الأب أو الأم ثم نوع الإهمال (الأعمال) المبنية </w:t>
      </w:r>
      <w:proofErr w:type="gramStart"/>
      <w:r>
        <w:rPr>
          <w:rFonts w:ascii="Times New Roman" w:eastAsia="Calibri" w:hAnsi="Times New Roman" w:cs="Times New Roman" w:hint="cs"/>
          <w:sz w:val="32"/>
          <w:szCs w:val="32"/>
          <w:rtl/>
          <w:lang w:bidi="ar-DZ"/>
        </w:rPr>
        <w:t>في</w:t>
      </w:r>
      <w:proofErr w:type="gramEnd"/>
      <w:r>
        <w:rPr>
          <w:rFonts w:ascii="Times New Roman" w:eastAsia="Calibri" w:hAnsi="Times New Roman" w:cs="Times New Roman" w:hint="cs"/>
          <w:sz w:val="32"/>
          <w:szCs w:val="32"/>
          <w:rtl/>
          <w:lang w:bidi="ar-DZ"/>
        </w:rPr>
        <w:t xml:space="preserve"> نص المادة 330/3 و النتائج المترتبة عن أعمال الإهمال.</w:t>
      </w:r>
    </w:p>
    <w:p w:rsidR="007978C2" w:rsidRDefault="007978C2" w:rsidP="007978C2">
      <w:pPr>
        <w:bidi/>
        <w:rPr>
          <w:rFonts w:ascii="Times New Roman" w:eastAsia="Calibri" w:hAnsi="Times New Roman" w:cs="Times New Roman"/>
          <w:sz w:val="32"/>
          <w:szCs w:val="32"/>
          <w:rtl/>
          <w:lang w:bidi="ar-DZ"/>
        </w:rPr>
      </w:pPr>
      <w:r w:rsidRPr="007978C2">
        <w:rPr>
          <w:rFonts w:ascii="Times New Roman" w:eastAsia="Calibri" w:hAnsi="Times New Roman" w:cs="Times New Roman" w:hint="cs"/>
          <w:sz w:val="32"/>
          <w:szCs w:val="32"/>
          <w:u w:val="single"/>
          <w:rtl/>
          <w:lang w:bidi="ar-DZ"/>
        </w:rPr>
        <w:t>صفة الأب و الأم</w:t>
      </w:r>
      <w:r>
        <w:rPr>
          <w:rFonts w:ascii="Times New Roman" w:eastAsia="Calibri" w:hAnsi="Times New Roman" w:cs="Times New Roman" w:hint="cs"/>
          <w:sz w:val="32"/>
          <w:szCs w:val="32"/>
          <w:u w:val="single"/>
          <w:rtl/>
          <w:lang w:bidi="ar-DZ"/>
        </w:rPr>
        <w:t xml:space="preserve"> </w:t>
      </w:r>
      <w:proofErr w:type="gramStart"/>
      <w:r>
        <w:rPr>
          <w:rFonts w:ascii="Times New Roman" w:eastAsia="Calibri" w:hAnsi="Times New Roman" w:cs="Times New Roman" w:hint="cs"/>
          <w:sz w:val="32"/>
          <w:szCs w:val="32"/>
          <w:rtl/>
          <w:lang w:bidi="ar-DZ"/>
        </w:rPr>
        <w:t>المقصود</w:t>
      </w:r>
      <w:proofErr w:type="gramEnd"/>
      <w:r>
        <w:rPr>
          <w:rFonts w:ascii="Times New Roman" w:eastAsia="Calibri" w:hAnsi="Times New Roman" w:cs="Times New Roman" w:hint="cs"/>
          <w:sz w:val="32"/>
          <w:szCs w:val="32"/>
          <w:rtl/>
          <w:lang w:bidi="ar-DZ"/>
        </w:rPr>
        <w:t xml:space="preserve"> هنا هو الأب أو الأم الشرعيين بالدرجة الأولى خاصة في ضوء التشريع الجزائري الذي يمنع التبني م 46 من </w:t>
      </w:r>
      <w:proofErr w:type="spellStart"/>
      <w:r>
        <w:rPr>
          <w:rFonts w:ascii="Times New Roman" w:eastAsia="Calibri" w:hAnsi="Times New Roman" w:cs="Times New Roman" w:hint="cs"/>
          <w:sz w:val="32"/>
          <w:szCs w:val="32"/>
          <w:rtl/>
          <w:lang w:bidi="ar-DZ"/>
        </w:rPr>
        <w:t>ق.أ</w:t>
      </w:r>
      <w:proofErr w:type="spellEnd"/>
      <w:r>
        <w:rPr>
          <w:rFonts w:ascii="Times New Roman" w:eastAsia="Calibri" w:hAnsi="Times New Roman" w:cs="Times New Roman" w:hint="cs"/>
          <w:sz w:val="32"/>
          <w:szCs w:val="32"/>
          <w:rtl/>
          <w:lang w:bidi="ar-DZ"/>
        </w:rPr>
        <w:t xml:space="preserve"> </w:t>
      </w:r>
      <w:proofErr w:type="gramStart"/>
      <w:r>
        <w:rPr>
          <w:rFonts w:ascii="Times New Roman" w:eastAsia="Calibri" w:hAnsi="Times New Roman" w:cs="Times New Roman" w:hint="cs"/>
          <w:sz w:val="32"/>
          <w:szCs w:val="32"/>
          <w:rtl/>
          <w:lang w:bidi="ar-DZ"/>
        </w:rPr>
        <w:t>غير</w:t>
      </w:r>
      <w:proofErr w:type="gramEnd"/>
      <w:r>
        <w:rPr>
          <w:rFonts w:ascii="Times New Roman" w:eastAsia="Calibri" w:hAnsi="Times New Roman" w:cs="Times New Roman" w:hint="cs"/>
          <w:sz w:val="32"/>
          <w:szCs w:val="32"/>
          <w:rtl/>
          <w:lang w:bidi="ar-DZ"/>
        </w:rPr>
        <w:t xml:space="preserve"> أن التساؤل يظل مطروحا بالنسبة للكثيرين في ضوء المادة 116 من </w:t>
      </w:r>
      <w:proofErr w:type="spellStart"/>
      <w:r>
        <w:rPr>
          <w:rFonts w:ascii="Times New Roman" w:eastAsia="Calibri" w:hAnsi="Times New Roman" w:cs="Times New Roman" w:hint="cs"/>
          <w:sz w:val="32"/>
          <w:szCs w:val="32"/>
          <w:rtl/>
          <w:lang w:bidi="ar-DZ"/>
        </w:rPr>
        <w:t>ق.أ</w:t>
      </w:r>
      <w:proofErr w:type="spellEnd"/>
      <w:r>
        <w:rPr>
          <w:rFonts w:ascii="Times New Roman" w:eastAsia="Calibri" w:hAnsi="Times New Roman" w:cs="Times New Roman" w:hint="cs"/>
          <w:sz w:val="32"/>
          <w:szCs w:val="32"/>
          <w:rtl/>
          <w:lang w:bidi="ar-DZ"/>
        </w:rPr>
        <w:t xml:space="preserve"> التي عرفت الكفالة بأنها الالتزام بالقيام بولد قاصر من نفقة و ترب</w:t>
      </w:r>
      <w:r w:rsidR="00E05D71">
        <w:rPr>
          <w:rFonts w:ascii="Times New Roman" w:eastAsia="Calibri" w:hAnsi="Times New Roman" w:cs="Times New Roman" w:hint="cs"/>
          <w:sz w:val="32"/>
          <w:szCs w:val="32"/>
          <w:rtl/>
          <w:lang w:bidi="ar-DZ"/>
        </w:rPr>
        <w:t xml:space="preserve">ية و رعاية و بذلك نرى أن </w:t>
      </w:r>
      <w:proofErr w:type="spellStart"/>
      <w:r w:rsidR="00E05D71">
        <w:rPr>
          <w:rFonts w:ascii="Times New Roman" w:eastAsia="Calibri" w:hAnsi="Times New Roman" w:cs="Times New Roman" w:hint="cs"/>
          <w:sz w:val="32"/>
          <w:szCs w:val="32"/>
          <w:rtl/>
          <w:lang w:bidi="ar-DZ"/>
        </w:rPr>
        <w:t>اللأمر</w:t>
      </w:r>
      <w:proofErr w:type="spellEnd"/>
      <w:r w:rsidR="00E05D71">
        <w:rPr>
          <w:rFonts w:ascii="Times New Roman" w:eastAsia="Calibri" w:hAnsi="Times New Roman" w:cs="Times New Roman" w:hint="cs"/>
          <w:sz w:val="32"/>
          <w:szCs w:val="32"/>
          <w:rtl/>
          <w:lang w:bidi="ar-DZ"/>
        </w:rPr>
        <w:t xml:space="preserve"> مقصور على الأب و الأم الشرعيين دون سوهم.</w:t>
      </w:r>
    </w:p>
    <w:p w:rsidR="00E05D71" w:rsidRDefault="00E05D71" w:rsidP="00E05D71">
      <w:pPr>
        <w:bidi/>
        <w:rPr>
          <w:rFonts w:ascii="Times New Roman" w:eastAsia="Calibri" w:hAnsi="Times New Roman" w:cs="Times New Roman"/>
          <w:sz w:val="32"/>
          <w:szCs w:val="32"/>
          <w:rtl/>
          <w:lang w:bidi="ar-DZ"/>
        </w:rPr>
      </w:pPr>
      <w:r>
        <w:rPr>
          <w:rFonts w:ascii="Times New Roman" w:eastAsia="Calibri" w:hAnsi="Times New Roman" w:cs="Times New Roman" w:hint="cs"/>
          <w:sz w:val="32"/>
          <w:szCs w:val="32"/>
          <w:rtl/>
          <w:lang w:bidi="ar-DZ"/>
        </w:rPr>
        <w:t xml:space="preserve">أعمال الإهمال المبينة </w:t>
      </w:r>
      <w:proofErr w:type="gramStart"/>
      <w:r>
        <w:rPr>
          <w:rFonts w:ascii="Times New Roman" w:eastAsia="Calibri" w:hAnsi="Times New Roman" w:cs="Times New Roman" w:hint="cs"/>
          <w:sz w:val="32"/>
          <w:szCs w:val="32"/>
          <w:rtl/>
          <w:lang w:bidi="ar-DZ"/>
        </w:rPr>
        <w:t>في</w:t>
      </w:r>
      <w:proofErr w:type="gramEnd"/>
      <w:r>
        <w:rPr>
          <w:rFonts w:ascii="Times New Roman" w:eastAsia="Calibri" w:hAnsi="Times New Roman" w:cs="Times New Roman" w:hint="cs"/>
          <w:sz w:val="32"/>
          <w:szCs w:val="32"/>
          <w:rtl/>
          <w:lang w:bidi="ar-DZ"/>
        </w:rPr>
        <w:t xml:space="preserve"> نص المادة 330/3 هي </w:t>
      </w:r>
      <w:proofErr w:type="spellStart"/>
      <w:r>
        <w:rPr>
          <w:rFonts w:ascii="Times New Roman" w:eastAsia="Calibri" w:hAnsi="Times New Roman" w:cs="Times New Roman" w:hint="cs"/>
          <w:sz w:val="32"/>
          <w:szCs w:val="32"/>
          <w:rtl/>
          <w:lang w:bidi="ar-DZ"/>
        </w:rPr>
        <w:t>كالأتي</w:t>
      </w:r>
      <w:proofErr w:type="spellEnd"/>
      <w:r>
        <w:rPr>
          <w:rFonts w:ascii="Times New Roman" w:eastAsia="Calibri" w:hAnsi="Times New Roman" w:cs="Times New Roman" w:hint="cs"/>
          <w:sz w:val="32"/>
          <w:szCs w:val="32"/>
          <w:rtl/>
          <w:lang w:bidi="ar-DZ"/>
        </w:rPr>
        <w:t>:</w:t>
      </w:r>
    </w:p>
    <w:p w:rsidR="00E05D71" w:rsidRPr="00E05D71" w:rsidRDefault="00E05D71" w:rsidP="00E05D71">
      <w:pPr>
        <w:pStyle w:val="Paragraphedeliste"/>
        <w:numPr>
          <w:ilvl w:val="0"/>
          <w:numId w:val="2"/>
        </w:numPr>
        <w:bidi/>
        <w:rPr>
          <w:rFonts w:ascii="Times New Roman" w:eastAsia="Calibri" w:hAnsi="Times New Roman" w:cs="Times New Roman"/>
          <w:sz w:val="32"/>
          <w:szCs w:val="32"/>
          <w:u w:val="single"/>
          <w:rtl/>
          <w:lang w:bidi="ar-DZ"/>
        </w:rPr>
      </w:pPr>
      <w:r w:rsidRPr="00E05D71">
        <w:rPr>
          <w:rFonts w:ascii="Times New Roman" w:eastAsia="Calibri" w:hAnsi="Times New Roman" w:cs="Times New Roman" w:hint="cs"/>
          <w:sz w:val="32"/>
          <w:szCs w:val="32"/>
          <w:u w:val="single"/>
          <w:rtl/>
          <w:lang w:bidi="ar-DZ"/>
        </w:rPr>
        <w:t xml:space="preserve">أعمال ذات </w:t>
      </w:r>
      <w:proofErr w:type="gramStart"/>
      <w:r w:rsidRPr="00E05D71">
        <w:rPr>
          <w:rFonts w:ascii="Times New Roman" w:eastAsia="Calibri" w:hAnsi="Times New Roman" w:cs="Times New Roman" w:hint="cs"/>
          <w:sz w:val="32"/>
          <w:szCs w:val="32"/>
          <w:u w:val="single"/>
          <w:rtl/>
          <w:lang w:bidi="ar-DZ"/>
        </w:rPr>
        <w:t>طابع</w:t>
      </w:r>
      <w:proofErr w:type="gramEnd"/>
      <w:r w:rsidRPr="00E05D71">
        <w:rPr>
          <w:rFonts w:ascii="Times New Roman" w:eastAsia="Calibri" w:hAnsi="Times New Roman" w:cs="Times New Roman" w:hint="cs"/>
          <w:sz w:val="32"/>
          <w:szCs w:val="32"/>
          <w:u w:val="single"/>
          <w:rtl/>
          <w:lang w:bidi="ar-DZ"/>
        </w:rPr>
        <w:t xml:space="preserve"> مادي</w:t>
      </w:r>
    </w:p>
    <w:p w:rsidR="00690C88" w:rsidRDefault="00E05D71" w:rsidP="007D73D9">
      <w:pPr>
        <w:bidi/>
        <w:rPr>
          <w:rFonts w:ascii="Times New Roman" w:eastAsia="Calibri" w:hAnsi="Times New Roman" w:cs="Times New Roman"/>
          <w:sz w:val="32"/>
          <w:szCs w:val="32"/>
          <w:rtl/>
          <w:lang w:bidi="ar-DZ"/>
        </w:rPr>
      </w:pPr>
      <w:r>
        <w:rPr>
          <w:rFonts w:ascii="Times New Roman" w:eastAsia="Calibri" w:hAnsi="Times New Roman" w:cs="Times New Roman" w:hint="cs"/>
          <w:sz w:val="32"/>
          <w:szCs w:val="32"/>
          <w:rtl/>
          <w:lang w:bidi="ar-DZ"/>
        </w:rPr>
        <w:t xml:space="preserve">سواء كانت سوء المعاملة و </w:t>
      </w:r>
      <w:proofErr w:type="spellStart"/>
      <w:r>
        <w:rPr>
          <w:rFonts w:ascii="Times New Roman" w:eastAsia="Calibri" w:hAnsi="Times New Roman" w:cs="Times New Roman" w:hint="cs"/>
          <w:sz w:val="32"/>
          <w:szCs w:val="32"/>
          <w:rtl/>
          <w:lang w:bidi="ar-DZ"/>
        </w:rPr>
        <w:t>إنعدام</w:t>
      </w:r>
      <w:proofErr w:type="spellEnd"/>
      <w:r>
        <w:rPr>
          <w:rFonts w:ascii="Times New Roman" w:eastAsia="Calibri" w:hAnsi="Times New Roman" w:cs="Times New Roman" w:hint="cs"/>
          <w:sz w:val="32"/>
          <w:szCs w:val="32"/>
          <w:rtl/>
          <w:lang w:bidi="ar-DZ"/>
        </w:rPr>
        <w:t xml:space="preserve"> الرعاية الصحية و من قبيل سوء المعاملة نذكر ضرب الولد أو قيده و إن كان صغيرا كي لا يغادر البيت أو تركه في البيت بمفرده و </w:t>
      </w:r>
      <w:proofErr w:type="spellStart"/>
      <w:r>
        <w:rPr>
          <w:rFonts w:ascii="Times New Roman" w:eastAsia="Calibri" w:hAnsi="Times New Roman" w:cs="Times New Roman" w:hint="cs"/>
          <w:sz w:val="32"/>
          <w:szCs w:val="32"/>
          <w:rtl/>
          <w:lang w:bidi="ar-DZ"/>
        </w:rPr>
        <w:t>الإنصراف</w:t>
      </w:r>
      <w:proofErr w:type="spellEnd"/>
      <w:r>
        <w:rPr>
          <w:rFonts w:ascii="Times New Roman" w:eastAsia="Calibri" w:hAnsi="Times New Roman" w:cs="Times New Roman" w:hint="cs"/>
          <w:sz w:val="32"/>
          <w:szCs w:val="32"/>
          <w:rtl/>
          <w:lang w:bidi="ar-DZ"/>
        </w:rPr>
        <w:t xml:space="preserve"> إلى العمل ،ثم من قبيل الإهمال عدم الرعاية كعدم عرض الولد المريض على الطبيب و عدم شراء الأدوية له.</w:t>
      </w:r>
    </w:p>
    <w:p w:rsidR="00E05D71" w:rsidRPr="00E05D71" w:rsidRDefault="00E05D71" w:rsidP="00E05D71">
      <w:pPr>
        <w:pStyle w:val="Paragraphedeliste"/>
        <w:numPr>
          <w:ilvl w:val="0"/>
          <w:numId w:val="2"/>
        </w:numPr>
        <w:bidi/>
        <w:rPr>
          <w:rFonts w:ascii="Times New Roman" w:eastAsia="Calibri" w:hAnsi="Times New Roman" w:cs="Times New Roman"/>
          <w:sz w:val="32"/>
          <w:szCs w:val="32"/>
          <w:lang w:bidi="ar-DZ"/>
        </w:rPr>
      </w:pPr>
      <w:r>
        <w:rPr>
          <w:rFonts w:ascii="Times New Roman" w:eastAsia="Calibri" w:hAnsi="Times New Roman" w:cs="Times New Roman" w:hint="cs"/>
          <w:sz w:val="32"/>
          <w:szCs w:val="32"/>
          <w:u w:val="single"/>
          <w:rtl/>
          <w:lang w:bidi="ar-DZ"/>
        </w:rPr>
        <w:t xml:space="preserve">أعمال ذات </w:t>
      </w:r>
      <w:proofErr w:type="gramStart"/>
      <w:r>
        <w:rPr>
          <w:rFonts w:ascii="Times New Roman" w:eastAsia="Calibri" w:hAnsi="Times New Roman" w:cs="Times New Roman" w:hint="cs"/>
          <w:sz w:val="32"/>
          <w:szCs w:val="32"/>
          <w:u w:val="single"/>
          <w:rtl/>
          <w:lang w:bidi="ar-DZ"/>
        </w:rPr>
        <w:t>طابع</w:t>
      </w:r>
      <w:proofErr w:type="gramEnd"/>
      <w:r>
        <w:rPr>
          <w:rFonts w:ascii="Times New Roman" w:eastAsia="Calibri" w:hAnsi="Times New Roman" w:cs="Times New Roman" w:hint="cs"/>
          <w:sz w:val="32"/>
          <w:szCs w:val="32"/>
          <w:u w:val="single"/>
          <w:rtl/>
          <w:lang w:bidi="ar-DZ"/>
        </w:rPr>
        <w:t xml:space="preserve"> أدبي</w:t>
      </w:r>
    </w:p>
    <w:p w:rsidR="00E05D71" w:rsidRDefault="00E05D71" w:rsidP="00E05D71">
      <w:pPr>
        <w:bidi/>
        <w:rPr>
          <w:rFonts w:ascii="Times New Roman" w:eastAsia="Calibri" w:hAnsi="Times New Roman" w:cs="Times New Roman"/>
          <w:sz w:val="32"/>
          <w:szCs w:val="32"/>
          <w:rtl/>
          <w:lang w:bidi="ar-DZ"/>
        </w:rPr>
      </w:pPr>
      <w:r>
        <w:rPr>
          <w:rFonts w:ascii="Times New Roman" w:eastAsia="Calibri" w:hAnsi="Times New Roman" w:cs="Times New Roman" w:hint="cs"/>
          <w:sz w:val="32"/>
          <w:szCs w:val="32"/>
          <w:rtl/>
          <w:lang w:bidi="ar-DZ"/>
        </w:rPr>
        <w:t>و المقصود بها المثل السيء و عدم الاشراف و من قبيل المثل ال</w:t>
      </w:r>
      <w:r w:rsidR="004824FD">
        <w:rPr>
          <w:rFonts w:ascii="Times New Roman" w:eastAsia="Calibri" w:hAnsi="Times New Roman" w:cs="Times New Roman" w:hint="cs"/>
          <w:sz w:val="32"/>
          <w:szCs w:val="32"/>
          <w:rtl/>
          <w:lang w:bidi="ar-DZ"/>
        </w:rPr>
        <w:t>س</w:t>
      </w:r>
      <w:r>
        <w:rPr>
          <w:rFonts w:ascii="Times New Roman" w:eastAsia="Calibri" w:hAnsi="Times New Roman" w:cs="Times New Roman" w:hint="cs"/>
          <w:sz w:val="32"/>
          <w:szCs w:val="32"/>
          <w:rtl/>
          <w:lang w:bidi="ar-DZ"/>
        </w:rPr>
        <w:t xml:space="preserve">يء الادمان على السكر و تناول المخدرات و القيام بأعمال منافية للأخلاق و هي من قبيل عدم الإشراف ،طرد الأولاد خارج البيت و صرفهم للعب في الشارع دون أدنى مراقبة و لا توجيه تحت طائلة قانون العقوبات و تحت وصاف أخرى و يجب أن تكون هذه الأعمال عرضت صحة الأطفال أو خلقهم لخطر جسيم فمثل هذه النتيجة تقتضي بالضرورة تكرار </w:t>
      </w:r>
      <w:proofErr w:type="spellStart"/>
      <w:r>
        <w:rPr>
          <w:rFonts w:ascii="Times New Roman" w:eastAsia="Calibri" w:hAnsi="Times New Roman" w:cs="Times New Roman" w:hint="cs"/>
          <w:sz w:val="32"/>
          <w:szCs w:val="32"/>
          <w:rtl/>
          <w:lang w:bidi="ar-DZ"/>
        </w:rPr>
        <w:t>السلوكات</w:t>
      </w:r>
      <w:proofErr w:type="spellEnd"/>
      <w:r>
        <w:rPr>
          <w:rFonts w:ascii="Times New Roman" w:eastAsia="Calibri" w:hAnsi="Times New Roman" w:cs="Times New Roman" w:hint="cs"/>
          <w:sz w:val="32"/>
          <w:szCs w:val="32"/>
          <w:rtl/>
          <w:lang w:bidi="ar-DZ"/>
        </w:rPr>
        <w:t xml:space="preserve"> المشتبهة و تجدر الإشارة إلى أن المشرع تدخل للوقاية من سوء معاملة الأطفال و ذلك بموج</w:t>
      </w:r>
      <w:r w:rsidR="00B83AEA">
        <w:rPr>
          <w:rFonts w:ascii="Times New Roman" w:eastAsia="Calibri" w:hAnsi="Times New Roman" w:cs="Times New Roman" w:hint="cs"/>
          <w:sz w:val="32"/>
          <w:szCs w:val="32"/>
          <w:rtl/>
          <w:lang w:bidi="ar-DZ"/>
        </w:rPr>
        <w:t xml:space="preserve">ب الأمر 72-03 </w:t>
      </w:r>
      <w:r w:rsidR="00B83AEA">
        <w:rPr>
          <w:rFonts w:ascii="Times New Roman" w:eastAsia="Calibri" w:hAnsi="Times New Roman" w:cs="Times New Roman" w:hint="cs"/>
          <w:sz w:val="32"/>
          <w:szCs w:val="32"/>
          <w:rtl/>
          <w:lang w:bidi="ar-DZ"/>
        </w:rPr>
        <w:lastRenderedPageBreak/>
        <w:t>المؤرخ في 10/0</w:t>
      </w:r>
      <w:r w:rsidR="004824FD">
        <w:rPr>
          <w:rFonts w:ascii="Times New Roman" w:eastAsia="Calibri" w:hAnsi="Times New Roman" w:cs="Times New Roman" w:hint="cs"/>
          <w:sz w:val="32"/>
          <w:szCs w:val="32"/>
          <w:rtl/>
          <w:lang w:bidi="ar-DZ"/>
        </w:rPr>
        <w:t>2 1972 المت</w:t>
      </w:r>
      <w:r w:rsidR="00B83AEA">
        <w:rPr>
          <w:rFonts w:ascii="Times New Roman" w:eastAsia="Calibri" w:hAnsi="Times New Roman" w:cs="Times New Roman" w:hint="cs"/>
          <w:sz w:val="32"/>
          <w:szCs w:val="32"/>
          <w:rtl/>
          <w:lang w:bidi="ar-DZ"/>
        </w:rPr>
        <w:t xml:space="preserve">علقة بحماية الطفولة و المراهقة المعرضين للخطر المعنوي و قد جاء هذا النص </w:t>
      </w:r>
      <w:proofErr w:type="spellStart"/>
      <w:r w:rsidR="00B83AEA">
        <w:rPr>
          <w:rFonts w:ascii="Times New Roman" w:eastAsia="Calibri" w:hAnsi="Times New Roman" w:cs="Times New Roman" w:hint="cs"/>
          <w:sz w:val="32"/>
          <w:szCs w:val="32"/>
          <w:rtl/>
          <w:lang w:bidi="ar-DZ"/>
        </w:rPr>
        <w:t>باجراءات</w:t>
      </w:r>
      <w:proofErr w:type="spellEnd"/>
      <w:r w:rsidR="00B83AEA">
        <w:rPr>
          <w:rFonts w:ascii="Times New Roman" w:eastAsia="Calibri" w:hAnsi="Times New Roman" w:cs="Times New Roman" w:hint="cs"/>
          <w:sz w:val="32"/>
          <w:szCs w:val="32"/>
          <w:rtl/>
          <w:lang w:bidi="ar-DZ"/>
        </w:rPr>
        <w:t xml:space="preserve"> و تدابير الحماية و التربية لصالح هؤلاء الأطفال نذكر هذه القوانين 15 يونيو 2015 (قوانين تحمي الطفولة و المراهقة)</w:t>
      </w:r>
    </w:p>
    <w:p w:rsidR="00B83AEA" w:rsidRDefault="00B83AEA" w:rsidP="00B83AEA">
      <w:pPr>
        <w:bidi/>
        <w:rPr>
          <w:rFonts w:ascii="Times New Roman" w:eastAsia="Calibri" w:hAnsi="Times New Roman" w:cs="Times New Roman"/>
          <w:sz w:val="32"/>
          <w:szCs w:val="32"/>
          <w:u w:val="single"/>
          <w:rtl/>
          <w:lang w:bidi="ar-DZ"/>
        </w:rPr>
      </w:pPr>
      <w:r w:rsidRPr="00B83AEA">
        <w:rPr>
          <w:rFonts w:ascii="Times New Roman" w:eastAsia="Calibri" w:hAnsi="Times New Roman" w:cs="Times New Roman" w:hint="cs"/>
          <w:sz w:val="32"/>
          <w:szCs w:val="32"/>
          <w:u w:val="single"/>
          <w:rtl/>
          <w:lang w:bidi="ar-DZ"/>
        </w:rPr>
        <w:t>النتائج الجسيمة المترتبة عن الإهمال:</w:t>
      </w:r>
    </w:p>
    <w:p w:rsidR="00B83AEA" w:rsidRDefault="00B83AEA" w:rsidP="00B83AEA">
      <w:pPr>
        <w:bidi/>
        <w:rPr>
          <w:rFonts w:ascii="Times New Roman" w:eastAsia="Calibri" w:hAnsi="Times New Roman" w:cs="Times New Roman"/>
          <w:sz w:val="32"/>
          <w:szCs w:val="32"/>
          <w:rtl/>
          <w:lang w:bidi="ar-DZ"/>
        </w:rPr>
      </w:pPr>
      <w:r>
        <w:rPr>
          <w:rFonts w:ascii="Times New Roman" w:eastAsia="Calibri" w:hAnsi="Times New Roman" w:cs="Times New Roman" w:hint="cs"/>
          <w:sz w:val="32"/>
          <w:szCs w:val="32"/>
          <w:rtl/>
          <w:lang w:bidi="ar-DZ"/>
        </w:rPr>
        <w:t xml:space="preserve">يجب أن لا تعرض </w:t>
      </w:r>
      <w:proofErr w:type="spellStart"/>
      <w:r>
        <w:rPr>
          <w:rFonts w:ascii="Times New Roman" w:eastAsia="Calibri" w:hAnsi="Times New Roman" w:cs="Times New Roman" w:hint="cs"/>
          <w:sz w:val="32"/>
          <w:szCs w:val="32"/>
          <w:rtl/>
          <w:lang w:bidi="ar-DZ"/>
        </w:rPr>
        <w:t>سلوكات</w:t>
      </w:r>
      <w:proofErr w:type="spellEnd"/>
      <w:r>
        <w:rPr>
          <w:rFonts w:ascii="Times New Roman" w:eastAsia="Calibri" w:hAnsi="Times New Roman" w:cs="Times New Roman" w:hint="cs"/>
          <w:sz w:val="32"/>
          <w:szCs w:val="32"/>
          <w:rtl/>
          <w:lang w:bidi="ar-DZ"/>
        </w:rPr>
        <w:t xml:space="preserve"> الأب و الأم صحة أولادهم و أمنهم أو خلقهم لخطر جسيم فهذه النتائج الجسيمة تكفي وحدها لقيام الجريمة سواء كانت أدت إلى إسقاط السلطة الأبوية عن الوالدين و لقاضي الموضوع السلطة الكاملة في تقدير الخطر الجسيم.</w:t>
      </w:r>
    </w:p>
    <w:p w:rsidR="00B83AEA" w:rsidRDefault="00B83AEA" w:rsidP="00B83AEA">
      <w:pPr>
        <w:bidi/>
        <w:rPr>
          <w:rFonts w:ascii="Times New Roman" w:eastAsia="Calibri" w:hAnsi="Times New Roman" w:cs="Times New Roman"/>
          <w:b/>
          <w:bCs/>
          <w:sz w:val="32"/>
          <w:szCs w:val="32"/>
          <w:rtl/>
          <w:lang w:bidi="ar-DZ"/>
        </w:rPr>
      </w:pPr>
      <w:proofErr w:type="gramStart"/>
      <w:r>
        <w:rPr>
          <w:rFonts w:ascii="Times New Roman" w:eastAsia="Calibri" w:hAnsi="Times New Roman" w:cs="Times New Roman" w:hint="cs"/>
          <w:b/>
          <w:bCs/>
          <w:sz w:val="32"/>
          <w:szCs w:val="32"/>
          <w:rtl/>
          <w:lang w:bidi="ar-DZ"/>
        </w:rPr>
        <w:t>الركن</w:t>
      </w:r>
      <w:proofErr w:type="gramEnd"/>
      <w:r>
        <w:rPr>
          <w:rFonts w:ascii="Times New Roman" w:eastAsia="Calibri" w:hAnsi="Times New Roman" w:cs="Times New Roman" w:hint="cs"/>
          <w:b/>
          <w:bCs/>
          <w:sz w:val="32"/>
          <w:szCs w:val="32"/>
          <w:rtl/>
          <w:lang w:bidi="ar-DZ"/>
        </w:rPr>
        <w:t xml:space="preserve"> المعنوي:</w:t>
      </w:r>
    </w:p>
    <w:p w:rsidR="00B83AEA" w:rsidRDefault="00B83AEA" w:rsidP="00B83AEA">
      <w:pPr>
        <w:bidi/>
        <w:rPr>
          <w:rFonts w:ascii="Times New Roman" w:eastAsia="Calibri" w:hAnsi="Times New Roman" w:cs="Times New Roman"/>
          <w:sz w:val="32"/>
          <w:szCs w:val="32"/>
          <w:rtl/>
          <w:lang w:bidi="ar-DZ"/>
        </w:rPr>
      </w:pPr>
      <w:proofErr w:type="gramStart"/>
      <w:r>
        <w:rPr>
          <w:rFonts w:ascii="Times New Roman" w:eastAsia="Calibri" w:hAnsi="Times New Roman" w:cs="Times New Roman" w:hint="cs"/>
          <w:sz w:val="32"/>
          <w:szCs w:val="32"/>
          <w:rtl/>
          <w:lang w:bidi="ar-DZ"/>
        </w:rPr>
        <w:t>إذا</w:t>
      </w:r>
      <w:proofErr w:type="gramEnd"/>
      <w:r>
        <w:rPr>
          <w:rFonts w:ascii="Times New Roman" w:eastAsia="Calibri" w:hAnsi="Times New Roman" w:cs="Times New Roman" w:hint="cs"/>
          <w:sz w:val="32"/>
          <w:szCs w:val="32"/>
          <w:rtl/>
          <w:lang w:bidi="ar-DZ"/>
        </w:rPr>
        <w:t xml:space="preserve"> كان القانون لم يشترط القصد الجنائي لقيام الجريمة فإن هذه الأخيرة تقتضي أن يكون الجاني واع بخطورة تقصيره في أدائه للواجبات العائلية.</w:t>
      </w:r>
    </w:p>
    <w:p w:rsidR="00B83AEA" w:rsidRDefault="00B83AEA" w:rsidP="00B83AEA">
      <w:pPr>
        <w:bidi/>
        <w:rPr>
          <w:rFonts w:ascii="Times New Roman" w:eastAsia="Calibri" w:hAnsi="Times New Roman" w:cs="Times New Roman"/>
          <w:sz w:val="32"/>
          <w:szCs w:val="32"/>
          <w:u w:val="single"/>
          <w:rtl/>
          <w:lang w:bidi="ar-DZ"/>
        </w:rPr>
      </w:pPr>
      <w:r>
        <w:rPr>
          <w:rFonts w:ascii="Times New Roman" w:eastAsia="Calibri" w:hAnsi="Times New Roman" w:cs="Times New Roman" w:hint="cs"/>
          <w:sz w:val="32"/>
          <w:szCs w:val="32"/>
          <w:u w:val="single"/>
          <w:rtl/>
          <w:lang w:bidi="ar-DZ"/>
        </w:rPr>
        <w:t>قيد الإهمال</w:t>
      </w:r>
    </w:p>
    <w:p w:rsidR="004824FD" w:rsidRDefault="00B83AEA" w:rsidP="00B83AEA">
      <w:pPr>
        <w:bidi/>
        <w:rPr>
          <w:rFonts w:ascii="Times New Roman" w:eastAsia="Calibri" w:hAnsi="Times New Roman" w:cs="Times New Roman"/>
          <w:sz w:val="32"/>
          <w:szCs w:val="32"/>
          <w:rtl/>
          <w:lang w:bidi="ar-DZ"/>
        </w:rPr>
      </w:pPr>
      <w:r>
        <w:rPr>
          <w:rFonts w:ascii="Times New Roman" w:eastAsia="Calibri" w:hAnsi="Times New Roman" w:cs="Times New Roman" w:hint="cs"/>
          <w:sz w:val="32"/>
          <w:szCs w:val="32"/>
          <w:rtl/>
          <w:lang w:bidi="ar-DZ"/>
        </w:rPr>
        <w:t xml:space="preserve">لا تخضع المتابعة من أجل جنحة الإهمال المعنوي لأي قيد و هذا من خلال المتابعة من أجل جنحتي ترك مقر الأسرة و التخلي عن الزوجة الحامل التي تتوقف على شكوى المضرور ،و من حيث </w:t>
      </w:r>
      <w:proofErr w:type="spellStart"/>
      <w:r>
        <w:rPr>
          <w:rFonts w:ascii="Times New Roman" w:eastAsia="Calibri" w:hAnsi="Times New Roman" w:cs="Times New Roman" w:hint="cs"/>
          <w:sz w:val="32"/>
          <w:szCs w:val="32"/>
          <w:rtl/>
          <w:lang w:bidi="ar-DZ"/>
        </w:rPr>
        <w:t>الإختصاص</w:t>
      </w:r>
      <w:proofErr w:type="spellEnd"/>
      <w:r>
        <w:rPr>
          <w:rFonts w:ascii="Times New Roman" w:eastAsia="Calibri" w:hAnsi="Times New Roman" w:cs="Times New Roman" w:hint="cs"/>
          <w:sz w:val="32"/>
          <w:szCs w:val="32"/>
          <w:rtl/>
          <w:lang w:bidi="ar-DZ"/>
        </w:rPr>
        <w:t xml:space="preserve"> تختص المحكمة التي يوجد فيها موطن الأب أو الأم الذي ارتكب فيه الجريمة</w:t>
      </w:r>
      <w:r w:rsidR="004824FD">
        <w:rPr>
          <w:rFonts w:ascii="Times New Roman" w:eastAsia="Calibri" w:hAnsi="Times New Roman" w:cs="Times New Roman" w:hint="cs"/>
          <w:sz w:val="32"/>
          <w:szCs w:val="32"/>
          <w:rtl/>
          <w:lang w:bidi="ar-DZ"/>
        </w:rPr>
        <w:t xml:space="preserve"> (</w:t>
      </w:r>
      <w:proofErr w:type="spellStart"/>
      <w:r w:rsidR="004824FD">
        <w:rPr>
          <w:rFonts w:ascii="Times New Roman" w:eastAsia="Calibri" w:hAnsi="Times New Roman" w:cs="Times New Roman" w:hint="cs"/>
          <w:sz w:val="32"/>
          <w:szCs w:val="32"/>
          <w:rtl/>
          <w:lang w:bidi="ar-DZ"/>
        </w:rPr>
        <w:t>إختصاص</w:t>
      </w:r>
      <w:proofErr w:type="spellEnd"/>
      <w:r w:rsidR="004824FD">
        <w:rPr>
          <w:rFonts w:ascii="Times New Roman" w:eastAsia="Calibri" w:hAnsi="Times New Roman" w:cs="Times New Roman" w:hint="cs"/>
          <w:sz w:val="32"/>
          <w:szCs w:val="32"/>
          <w:rtl/>
          <w:lang w:bidi="ar-DZ"/>
        </w:rPr>
        <w:t xml:space="preserve"> إقليمي).</w:t>
      </w:r>
    </w:p>
    <w:p w:rsidR="004824FD" w:rsidRDefault="004824FD" w:rsidP="004824FD">
      <w:pPr>
        <w:bidi/>
        <w:rPr>
          <w:rFonts w:ascii="Times New Roman" w:eastAsia="Calibri" w:hAnsi="Times New Roman" w:cs="Times New Roman"/>
          <w:b/>
          <w:bCs/>
          <w:sz w:val="32"/>
          <w:szCs w:val="32"/>
          <w:rtl/>
          <w:lang w:bidi="ar-DZ"/>
        </w:rPr>
      </w:pPr>
      <w:r>
        <w:rPr>
          <w:rFonts w:ascii="Times New Roman" w:eastAsia="Calibri" w:hAnsi="Times New Roman" w:cs="Times New Roman" w:hint="cs"/>
          <w:b/>
          <w:bCs/>
          <w:sz w:val="32"/>
          <w:szCs w:val="32"/>
          <w:rtl/>
          <w:lang w:bidi="ar-DZ"/>
        </w:rPr>
        <w:t>الجزاء و العقوبة</w:t>
      </w:r>
    </w:p>
    <w:p w:rsidR="00B83AEA" w:rsidRPr="00B83AEA" w:rsidRDefault="004824FD" w:rsidP="004824FD">
      <w:pPr>
        <w:bidi/>
        <w:rPr>
          <w:rFonts w:ascii="Times New Roman" w:eastAsia="Calibri" w:hAnsi="Times New Roman" w:cs="Times New Roman"/>
          <w:sz w:val="32"/>
          <w:szCs w:val="32"/>
          <w:rtl/>
          <w:lang w:bidi="ar-DZ"/>
        </w:rPr>
      </w:pPr>
      <w:proofErr w:type="gramStart"/>
      <w:r>
        <w:rPr>
          <w:rFonts w:ascii="Times New Roman" w:eastAsia="Calibri" w:hAnsi="Times New Roman" w:cs="Times New Roman" w:hint="cs"/>
          <w:sz w:val="32"/>
          <w:szCs w:val="32"/>
          <w:rtl/>
          <w:lang w:bidi="ar-DZ"/>
        </w:rPr>
        <w:t>تطبق</w:t>
      </w:r>
      <w:proofErr w:type="gramEnd"/>
      <w:r>
        <w:rPr>
          <w:rFonts w:ascii="Times New Roman" w:eastAsia="Calibri" w:hAnsi="Times New Roman" w:cs="Times New Roman" w:hint="cs"/>
          <w:sz w:val="32"/>
          <w:szCs w:val="32"/>
          <w:rtl/>
          <w:lang w:bidi="ar-DZ"/>
        </w:rPr>
        <w:t xml:space="preserve"> على مرتكب هذه الجريمة العقوبات الأصلية و التكميلية المقررة لجنحتي ترك مقر الأسرة و التخلي عن الزوجة الحامل المنصوص عليها في الفقرتين 01 و 02 من نص المادة 330 من قانون العقوبات.</w:t>
      </w:r>
      <w:r w:rsidR="00B83AEA">
        <w:rPr>
          <w:rFonts w:ascii="Times New Roman" w:eastAsia="Calibri" w:hAnsi="Times New Roman" w:cs="Times New Roman" w:hint="cs"/>
          <w:sz w:val="32"/>
          <w:szCs w:val="32"/>
          <w:rtl/>
          <w:lang w:bidi="ar-DZ"/>
        </w:rPr>
        <w:t xml:space="preserve"> </w:t>
      </w:r>
    </w:p>
    <w:p w:rsidR="00E05D71" w:rsidRPr="00690C88" w:rsidRDefault="00E05D71" w:rsidP="00E05D71">
      <w:pPr>
        <w:bidi/>
        <w:rPr>
          <w:rFonts w:ascii="Times New Roman" w:eastAsia="Calibri" w:hAnsi="Times New Roman" w:cs="Times New Roman"/>
          <w:sz w:val="32"/>
          <w:szCs w:val="32"/>
          <w:rtl/>
          <w:lang w:bidi="ar-DZ"/>
        </w:rPr>
      </w:pPr>
    </w:p>
    <w:p w:rsidR="00946020" w:rsidRDefault="00946020"/>
    <w:sectPr w:rsidR="00946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775D2"/>
    <w:multiLevelType w:val="hybridMultilevel"/>
    <w:tmpl w:val="131A3F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FAB540B"/>
    <w:multiLevelType w:val="hybridMultilevel"/>
    <w:tmpl w:val="996E8270"/>
    <w:lvl w:ilvl="0" w:tplc="9E56DDC6">
      <w:start w:val="1"/>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88"/>
    <w:rsid w:val="00105990"/>
    <w:rsid w:val="00233702"/>
    <w:rsid w:val="003D2E8E"/>
    <w:rsid w:val="004824FD"/>
    <w:rsid w:val="00652318"/>
    <w:rsid w:val="00656CC6"/>
    <w:rsid w:val="00690C88"/>
    <w:rsid w:val="007978C2"/>
    <w:rsid w:val="007D73D9"/>
    <w:rsid w:val="00946020"/>
    <w:rsid w:val="00B83AEA"/>
    <w:rsid w:val="00E05D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73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7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666</Words>
  <Characters>3663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2020-12-26T08:02:00Z</dcterms:created>
  <dcterms:modified xsi:type="dcterms:W3CDTF">2021-01-12T13:28:00Z</dcterms:modified>
</cp:coreProperties>
</file>