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F7" w:rsidRPr="00C20A1B" w:rsidRDefault="00E410F7" w:rsidP="00E410F7">
      <w:pPr>
        <w:pStyle w:val="Titre1"/>
        <w:bidi/>
        <w:spacing w:line="580" w:lineRule="atLeast"/>
        <w:jc w:val="lowKashida"/>
        <w:rPr>
          <w:rFonts w:hint="cs"/>
          <w:b/>
          <w:bCs/>
          <w:rtl/>
        </w:rPr>
      </w:pPr>
      <w:r w:rsidRPr="00AC6FE1">
        <w:rPr>
          <w:rFonts w:hint="cs"/>
          <w:b/>
          <w:bCs/>
          <w:u w:val="single"/>
          <w:rtl/>
        </w:rPr>
        <w:t>هل عرف النظام الاسلامي نظرية</w:t>
      </w:r>
      <w:r w:rsidRPr="00AC6FE1">
        <w:rPr>
          <w:b/>
          <w:bCs/>
          <w:u w:val="single"/>
          <w:rtl/>
        </w:rPr>
        <w:t>القانون الإداري</w:t>
      </w:r>
      <w:r w:rsidRPr="00C20A1B">
        <w:rPr>
          <w:rFonts w:hint="cs"/>
          <w:b/>
          <w:bCs/>
          <w:rtl/>
        </w:rPr>
        <w:t xml:space="preserve"> ؟</w:t>
      </w:r>
      <w:r w:rsidRPr="00C20A1B">
        <w:rPr>
          <w:b/>
          <w:bCs/>
          <w:rtl/>
        </w:rPr>
        <w:t>:</w:t>
      </w:r>
    </w:p>
    <w:p w:rsidR="00E410F7" w:rsidRPr="00ED3EA6" w:rsidRDefault="00E410F7" w:rsidP="00E410F7">
      <w:pPr>
        <w:spacing w:line="580" w:lineRule="atLeast"/>
        <w:jc w:val="lowKashida"/>
        <w:rPr>
          <w:sz w:val="32"/>
          <w:rtl/>
        </w:rPr>
      </w:pPr>
      <w:r w:rsidRPr="00ED3EA6">
        <w:rPr>
          <w:sz w:val="32"/>
          <w:rtl/>
        </w:rPr>
        <w:tab/>
        <w:t xml:space="preserve">لاشك في أن الدولة الإسلامية وقد بلغت شأواً كبيراً في الإزدهار والتوسع </w:t>
      </w:r>
      <w:r w:rsidRPr="00ED3EA6">
        <w:rPr>
          <w:rFonts w:hint="cs"/>
          <w:sz w:val="32"/>
          <w:rtl/>
        </w:rPr>
        <w:t>الأمر الذي أدي ل</w:t>
      </w:r>
      <w:r w:rsidRPr="00ED3EA6">
        <w:rPr>
          <w:sz w:val="32"/>
          <w:rtl/>
        </w:rPr>
        <w:t>وجود نظام إداري قوي يشبع حاجات الأفراد العامة حتى في أحلك الظروف ، حيث كانت الإدارة تتميز بأنها شعبية قامت فور انتقال الرسول صلي الله عليه وسلم إلي المدينة</w:t>
      </w:r>
      <w:r w:rsidRPr="00ED3EA6">
        <w:rPr>
          <w:rStyle w:val="Appelnotedebasdep"/>
          <w:sz w:val="32"/>
        </w:rPr>
        <w:footnoteReference w:customMarkFollows="1" w:id="2"/>
        <w:t>(1)</w:t>
      </w:r>
      <w:r w:rsidRPr="00ED3EA6">
        <w:rPr>
          <w:sz w:val="32"/>
          <w:rtl/>
        </w:rPr>
        <w:t>.</w:t>
      </w:r>
    </w:p>
    <w:p w:rsidR="00E410F7" w:rsidRPr="00ED3EA6" w:rsidRDefault="00E410F7" w:rsidP="00E410F7">
      <w:pPr>
        <w:spacing w:line="580" w:lineRule="atLeast"/>
        <w:jc w:val="lowKashida"/>
        <w:rPr>
          <w:sz w:val="32"/>
          <w:rtl/>
        </w:rPr>
      </w:pPr>
      <w:r w:rsidRPr="00ED3EA6">
        <w:rPr>
          <w:sz w:val="32"/>
          <w:rtl/>
        </w:rPr>
        <w:tab/>
        <w:t>وأنه من المقرر حتماً كلما وجدت إدارة ومحكومين وجد قانون إداري وهذا أمر بديهي، ولكن ليس معنى وجود (نظام إداري) أن يوجد قانون إداري إلا إذا تميزت العلاقات الإدارية عن العلاقات الفردية بمعاملة خاصة.</w:t>
      </w:r>
      <w:r w:rsidRPr="00ED3EA6">
        <w:rPr>
          <w:rStyle w:val="Appelnotedebasdep"/>
          <w:sz w:val="32"/>
        </w:rPr>
        <w:footnoteReference w:customMarkFollows="1" w:id="3"/>
        <w:t>(2)</w:t>
      </w:r>
    </w:p>
    <w:p w:rsidR="00E410F7" w:rsidRPr="00ED3EA6" w:rsidRDefault="00E410F7" w:rsidP="00E410F7">
      <w:pPr>
        <w:spacing w:line="580" w:lineRule="atLeast"/>
        <w:jc w:val="lowKashida"/>
        <w:rPr>
          <w:sz w:val="32"/>
          <w:rtl/>
        </w:rPr>
      </w:pPr>
      <w:r w:rsidRPr="00ED3EA6">
        <w:rPr>
          <w:sz w:val="32"/>
          <w:rtl/>
        </w:rPr>
        <w:tab/>
        <w:t>وحيث لا يعرف النظام الإسلامي التفرقة بين الحكام والمحكوم فيما يتعلق بالخضوع لأحكام الشريعة الإسلامية، ولم يعرف تاريخ التراث الإسلامي أي تمييز في شريعة الحكم بين الوالي والرعية، والشريعة الإسلامية من النظم الموحدة التي لا تعرف الإزدواج فليس فيها قانون إداري مستقل بل تسري أحكام الشرع علي الحكام والمحكومين علي حد السواء.</w:t>
      </w:r>
      <w:r w:rsidRPr="00ED3EA6">
        <w:rPr>
          <w:rStyle w:val="Appelnotedebasdep"/>
          <w:sz w:val="32"/>
        </w:rPr>
        <w:footnoteReference w:customMarkFollows="1" w:id="4"/>
        <w:t>(3)</w:t>
      </w:r>
    </w:p>
    <w:p w:rsidR="00E410F7" w:rsidRPr="00ED3EA6" w:rsidRDefault="00E410F7" w:rsidP="00E410F7">
      <w:pPr>
        <w:spacing w:line="580" w:lineRule="atLeast"/>
        <w:jc w:val="lowKashida"/>
        <w:rPr>
          <w:sz w:val="32"/>
          <w:rtl/>
        </w:rPr>
      </w:pPr>
      <w:r w:rsidRPr="00ED3EA6">
        <w:rPr>
          <w:sz w:val="32"/>
          <w:rtl/>
        </w:rPr>
        <w:tab/>
        <w:t>ولقد عرف النظام الإسلامي نوعان من القضاء، قضاء عادي وقضاء مظالم أو ولاية مظالم وإن كان هناك شبه بين قضاء المظالم والقضاء الإداري فيما يتعلق بإختصاصات قاضي المظالم في الفصل في المنازعات التي لها طابع إداري مثل النظر في إساءة استعمال السلطة من جانب الحكام (الولاة) ضد المحكومين (الرعية) والنظر في منازعات كتاب الدواوين وإدارة شئونهم (المرافق العامة)</w:t>
      </w:r>
      <w:r w:rsidRPr="00ED3EA6">
        <w:rPr>
          <w:rFonts w:hint="cs"/>
          <w:sz w:val="32"/>
          <w:rtl/>
        </w:rPr>
        <w:t>.</w:t>
      </w:r>
      <w:r w:rsidRPr="00ED3EA6">
        <w:rPr>
          <w:rStyle w:val="Appelnotedebasdep"/>
          <w:sz w:val="32"/>
        </w:rPr>
        <w:footnoteReference w:customMarkFollows="1" w:id="5"/>
        <w:t>(4)</w:t>
      </w:r>
    </w:p>
    <w:p w:rsidR="00E410F7" w:rsidRPr="00ED3EA6" w:rsidRDefault="00E410F7" w:rsidP="00E410F7">
      <w:pPr>
        <w:spacing w:line="580" w:lineRule="atLeast"/>
        <w:jc w:val="lowKashida"/>
        <w:rPr>
          <w:sz w:val="32"/>
          <w:rtl/>
        </w:rPr>
      </w:pPr>
      <w:r w:rsidRPr="00ED3EA6">
        <w:rPr>
          <w:sz w:val="32"/>
          <w:rtl/>
        </w:rPr>
        <w:tab/>
        <w:t>إلا أن قضاء المظالم في النظام الإسلامي لا ينشئ القواعد والأحكام القانونية كما هو الحال في القضاء الإداري الوضعي حيث أن الأحكام والقواعد القانونية في النظام الإسلامي لها مصادرها التي تتألف منها المشروعية الإسلامية العليا.</w:t>
      </w:r>
      <w:r w:rsidRPr="00ED3EA6">
        <w:rPr>
          <w:rStyle w:val="Appelnotedebasdep"/>
          <w:sz w:val="32"/>
        </w:rPr>
        <w:footnoteReference w:customMarkFollows="1" w:id="6"/>
        <w:t>(1)</w:t>
      </w:r>
    </w:p>
    <w:p w:rsidR="00E410F7" w:rsidRPr="00ED3EA6" w:rsidRDefault="00E410F7" w:rsidP="00E410F7">
      <w:pPr>
        <w:pStyle w:val="Titre1"/>
        <w:bidi/>
        <w:spacing w:line="580" w:lineRule="atLeast"/>
        <w:jc w:val="lowKashida"/>
        <w:rPr>
          <w:rFonts w:hint="cs"/>
          <w:rtl/>
        </w:rPr>
      </w:pPr>
      <w:r w:rsidRPr="00C20A1B">
        <w:rPr>
          <w:b/>
          <w:bCs/>
          <w:rtl/>
        </w:rPr>
        <w:lastRenderedPageBreak/>
        <w:t>أساس تطبيق القانون الإداري في النظام اللاتيني</w:t>
      </w:r>
      <w:r w:rsidRPr="00ED3EA6">
        <w:rPr>
          <w:rtl/>
        </w:rPr>
        <w:t>:</w:t>
      </w:r>
    </w:p>
    <w:p w:rsidR="00E410F7" w:rsidRPr="00ED3EA6" w:rsidRDefault="00E410F7" w:rsidP="00E410F7">
      <w:pPr>
        <w:spacing w:line="580" w:lineRule="atLeast"/>
        <w:jc w:val="lowKashida"/>
        <w:rPr>
          <w:sz w:val="32"/>
          <w:rtl/>
        </w:rPr>
      </w:pPr>
      <w:r w:rsidRPr="00ED3EA6">
        <w:rPr>
          <w:sz w:val="32"/>
          <w:rtl/>
        </w:rPr>
        <w:tab/>
        <w:t>قد تبدو معرفة أساس ومجال انطباق القانون الإداري لأول وهلة أمراً ميسوراً، فقد يقال أن القانون الإداري يطبق علي العلاقات التي تكون الإدارة طرفاً فيها</w:t>
      </w:r>
      <w:r w:rsidRPr="00ED3EA6">
        <w:rPr>
          <w:rFonts w:hint="cs"/>
          <w:sz w:val="32"/>
          <w:rtl/>
        </w:rPr>
        <w:t>،</w:t>
      </w:r>
      <w:r w:rsidRPr="00ED3EA6">
        <w:rPr>
          <w:sz w:val="32"/>
          <w:rtl/>
        </w:rPr>
        <w:t xml:space="preserve"> ويقوم بتنظيم الروابط التي تنشأ بين الأفراد والإدارة كافة، ذلك قياساً علي فروع القانون الأخرى كالقانون المدني الذي ينظم العلاقات المدنية والقانون التجاري الذي يحكم المعاملات التجارية.</w:t>
      </w:r>
    </w:p>
    <w:p w:rsidR="00E410F7" w:rsidRPr="00ED3EA6" w:rsidRDefault="00E410F7" w:rsidP="00E410F7">
      <w:pPr>
        <w:spacing w:line="580" w:lineRule="atLeast"/>
        <w:jc w:val="lowKashida"/>
        <w:rPr>
          <w:sz w:val="32"/>
          <w:rtl/>
        </w:rPr>
      </w:pPr>
      <w:r w:rsidRPr="00ED3EA6">
        <w:rPr>
          <w:sz w:val="32"/>
          <w:rtl/>
        </w:rPr>
        <w:tab/>
        <w:t xml:space="preserve">ولكن هذا لا ينطبق علي القانون الإداري لأن العلاقات الإدارية متنوعة يختلف بعضها عن بعض اختلافاً جذرياً، ذلك لأن الإدارة تمارس نشاطات مختلفة من حيث الطبيعة وتقيم علاقاتها مع الأفراد </w:t>
      </w:r>
      <w:r w:rsidRPr="00ED3EA6">
        <w:rPr>
          <w:rFonts w:hint="cs"/>
          <w:sz w:val="32"/>
          <w:rtl/>
        </w:rPr>
        <w:t>باستخدام</w:t>
      </w:r>
      <w:r w:rsidRPr="00ED3EA6">
        <w:rPr>
          <w:sz w:val="32"/>
          <w:rtl/>
        </w:rPr>
        <w:t xml:space="preserve"> طرق متعددة ، فهي تمارس نشاطاً عاماً في غالب الأحيان، غير أنها قد تمارس نشاطاً مشابهاً للنشاط الخاص، فهل يمكن اعتبار العلاقات الناشئة عن هذا النشاط الأخير علاقات إدارية، لابد للإجابة علي هذا السؤال للتعرف علي العلاقات الإدارية التي يحكمها القانون الإداري وتلك التي تخرج عن نطاقه</w:t>
      </w:r>
      <w:r w:rsidRPr="00ED3EA6">
        <w:rPr>
          <w:rStyle w:val="Appelnotedebasdep"/>
          <w:sz w:val="32"/>
        </w:rPr>
        <w:footnoteReference w:customMarkFollows="1" w:id="7"/>
        <w:t>(2)</w:t>
      </w:r>
      <w:r w:rsidRPr="00ED3EA6">
        <w:rPr>
          <w:sz w:val="32"/>
          <w:rtl/>
        </w:rPr>
        <w:t>.</w:t>
      </w:r>
    </w:p>
    <w:p w:rsidR="00DE5641" w:rsidRDefault="00E410F7" w:rsidP="00E410F7">
      <w:r w:rsidRPr="00ED3EA6">
        <w:rPr>
          <w:sz w:val="32"/>
          <w:rtl/>
        </w:rPr>
        <w:tab/>
        <w:t>لذلك كان لابد من البحث عن فكرة أساسية يستند إليها القانون الإداري في التطبيق، وهذا البحث قد أملته اعتبارات عملية في فرنسا مهد القانون الإداري، تتمثل في وجود قضاء إداري مستقل متخصص في النظر في المنازعات الإدارية إلي جانب القضاء العادي الذي يتولى حسم المنازعات التي تنشأ بين الأفراد، والاعتبار الثاني كون المشروع الفرنسي لم يحدد اختصاص القضاء الإداري، الأمر الذي اضطر القضاء إلي البحث عن مبدأ عام يمكن الاستناد إليه في تعيين الحدود التي تفصل بين اختصاص كل من القضائيين.</w:t>
      </w:r>
    </w:p>
    <w:sectPr w:rsidR="00DE5641" w:rsidSect="00DE56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51C" w:rsidRDefault="0036151C" w:rsidP="00E410F7">
      <w:r>
        <w:separator/>
      </w:r>
    </w:p>
  </w:endnote>
  <w:endnote w:type="continuationSeparator" w:id="1">
    <w:p w:rsidR="0036151C" w:rsidRDefault="0036151C" w:rsidP="00E41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51C" w:rsidRDefault="0036151C" w:rsidP="00E410F7">
      <w:r>
        <w:separator/>
      </w:r>
    </w:p>
  </w:footnote>
  <w:footnote w:type="continuationSeparator" w:id="1">
    <w:p w:rsidR="0036151C" w:rsidRDefault="0036151C" w:rsidP="00E410F7">
      <w:r>
        <w:continuationSeparator/>
      </w:r>
    </w:p>
  </w:footnote>
  <w:footnote w:id="2">
    <w:p w:rsidR="00E410F7" w:rsidRDefault="00E410F7" w:rsidP="00E410F7">
      <w:pPr>
        <w:pStyle w:val="Notedebasdepage"/>
        <w:jc w:val="lowKashida"/>
        <w:rPr>
          <w:sz w:val="24"/>
          <w:rtl/>
        </w:rPr>
      </w:pPr>
      <w:r>
        <w:rPr>
          <w:rStyle w:val="Appelnotedebasdep"/>
          <w:sz w:val="24"/>
        </w:rPr>
        <w:t>(1)</w:t>
      </w:r>
      <w:r>
        <w:rPr>
          <w:sz w:val="24"/>
          <w:rtl/>
        </w:rPr>
        <w:t xml:space="preserve"> راجع د. مصطفي </w:t>
      </w:r>
      <w:r>
        <w:rPr>
          <w:rFonts w:hint="cs"/>
          <w:sz w:val="24"/>
          <w:rtl/>
        </w:rPr>
        <w:t xml:space="preserve">كمال </w:t>
      </w:r>
      <w:r>
        <w:rPr>
          <w:sz w:val="24"/>
          <w:rtl/>
        </w:rPr>
        <w:t xml:space="preserve">وصفي </w:t>
      </w:r>
      <w:r>
        <w:rPr>
          <w:sz w:val="24"/>
        </w:rPr>
        <w:t>–</w:t>
      </w:r>
      <w:r>
        <w:rPr>
          <w:sz w:val="24"/>
          <w:rtl/>
        </w:rPr>
        <w:t xml:space="preserve"> مصنفة النظم الإسلامية مكتبة وهبة </w:t>
      </w:r>
      <w:r>
        <w:rPr>
          <w:sz w:val="24"/>
        </w:rPr>
        <w:t>–</w:t>
      </w:r>
      <w:r>
        <w:rPr>
          <w:sz w:val="24"/>
          <w:rtl/>
        </w:rPr>
        <w:t xml:space="preserve"> القاهرة -  1977م ص427.</w:t>
      </w:r>
    </w:p>
  </w:footnote>
  <w:footnote w:id="3">
    <w:p w:rsidR="00E410F7" w:rsidRDefault="00E410F7" w:rsidP="00E410F7">
      <w:pPr>
        <w:pStyle w:val="Notedebasdepage"/>
        <w:jc w:val="lowKashida"/>
        <w:rPr>
          <w:sz w:val="24"/>
          <w:rtl/>
        </w:rPr>
      </w:pPr>
      <w:r>
        <w:rPr>
          <w:rStyle w:val="Appelnotedebasdep"/>
          <w:sz w:val="24"/>
        </w:rPr>
        <w:t>(2)</w:t>
      </w:r>
      <w:r>
        <w:rPr>
          <w:sz w:val="24"/>
          <w:rtl/>
        </w:rPr>
        <w:t xml:space="preserve"> المرجع السابق ، ص 429.</w:t>
      </w:r>
    </w:p>
  </w:footnote>
  <w:footnote w:id="4">
    <w:p w:rsidR="00E410F7" w:rsidRDefault="00E410F7" w:rsidP="00E410F7">
      <w:pPr>
        <w:pStyle w:val="Notedebasdepage"/>
        <w:jc w:val="lowKashida"/>
        <w:rPr>
          <w:sz w:val="24"/>
          <w:rtl/>
        </w:rPr>
      </w:pPr>
      <w:r>
        <w:rPr>
          <w:rStyle w:val="Appelnotedebasdep"/>
          <w:sz w:val="24"/>
          <w:rtl/>
        </w:rPr>
        <w:t>(3)</w:t>
      </w:r>
      <w:r>
        <w:rPr>
          <w:sz w:val="24"/>
          <w:rtl/>
        </w:rPr>
        <w:t xml:space="preserve"> راجع الماوردي </w:t>
      </w:r>
      <w:r>
        <w:rPr>
          <w:sz w:val="24"/>
        </w:rPr>
        <w:t>–</w:t>
      </w:r>
      <w:r>
        <w:rPr>
          <w:sz w:val="24"/>
          <w:rtl/>
        </w:rPr>
        <w:t xml:space="preserve"> الأحكام السلطانية </w:t>
      </w:r>
      <w:r>
        <w:rPr>
          <w:sz w:val="24"/>
        </w:rPr>
        <w:t>–</w:t>
      </w:r>
      <w:r>
        <w:rPr>
          <w:sz w:val="24"/>
          <w:rtl/>
        </w:rPr>
        <w:t xml:space="preserve"> ط 337 ص  د. محمد فؤاد مهنا </w:t>
      </w:r>
      <w:r>
        <w:rPr>
          <w:sz w:val="24"/>
        </w:rPr>
        <w:t>–</w:t>
      </w:r>
      <w:r>
        <w:rPr>
          <w:sz w:val="24"/>
          <w:rtl/>
        </w:rPr>
        <w:t xml:space="preserve"> المرجع السابق ص 107.</w:t>
      </w:r>
    </w:p>
  </w:footnote>
  <w:footnote w:id="5">
    <w:p w:rsidR="00E410F7" w:rsidRDefault="00E410F7" w:rsidP="00E410F7">
      <w:pPr>
        <w:pStyle w:val="Notedebasdepage"/>
        <w:jc w:val="lowKashida"/>
        <w:rPr>
          <w:sz w:val="24"/>
          <w:rtl/>
        </w:rPr>
      </w:pPr>
      <w:r>
        <w:rPr>
          <w:rStyle w:val="Appelnotedebasdep"/>
          <w:sz w:val="24"/>
          <w:rtl/>
        </w:rPr>
        <w:t>(4)</w:t>
      </w:r>
      <w:r>
        <w:rPr>
          <w:sz w:val="24"/>
          <w:rtl/>
        </w:rPr>
        <w:t xml:space="preserve"> د. مصطفى كمال وصفي </w:t>
      </w:r>
      <w:r>
        <w:rPr>
          <w:sz w:val="24"/>
        </w:rPr>
        <w:t>–</w:t>
      </w:r>
      <w:r>
        <w:rPr>
          <w:sz w:val="24"/>
          <w:rtl/>
        </w:rPr>
        <w:t xml:space="preserve"> المرجع السابق، ص 430.</w:t>
      </w:r>
    </w:p>
  </w:footnote>
  <w:footnote w:id="6">
    <w:p w:rsidR="00E410F7" w:rsidRDefault="00E410F7" w:rsidP="00E410F7">
      <w:pPr>
        <w:pStyle w:val="Notedebasdepage"/>
        <w:jc w:val="lowKashida"/>
        <w:rPr>
          <w:sz w:val="24"/>
          <w:rtl/>
        </w:rPr>
      </w:pPr>
      <w:r>
        <w:rPr>
          <w:rStyle w:val="Appelnotedebasdep"/>
          <w:sz w:val="24"/>
          <w:rtl/>
        </w:rPr>
        <w:t>(1)</w:t>
      </w:r>
      <w:r>
        <w:rPr>
          <w:sz w:val="24"/>
          <w:rtl/>
        </w:rPr>
        <w:t xml:space="preserve"> راجع د. خالد عبد العزيز </w:t>
      </w:r>
      <w:r>
        <w:rPr>
          <w:rFonts w:hint="cs"/>
          <w:sz w:val="24"/>
          <w:rtl/>
        </w:rPr>
        <w:t xml:space="preserve">غريم </w:t>
      </w:r>
      <w:r>
        <w:rPr>
          <w:sz w:val="24"/>
        </w:rPr>
        <w:t>–</w:t>
      </w:r>
      <w:r>
        <w:rPr>
          <w:sz w:val="24"/>
          <w:rtl/>
        </w:rPr>
        <w:t xml:space="preserve"> القانون الإداري الليبي </w:t>
      </w:r>
      <w:r>
        <w:rPr>
          <w:sz w:val="24"/>
        </w:rPr>
        <w:t>–</w:t>
      </w:r>
      <w:r>
        <w:rPr>
          <w:sz w:val="24"/>
          <w:rtl/>
        </w:rPr>
        <w:t xml:space="preserve"> الجزء الأول ط 1969م ، ص 156.</w:t>
      </w:r>
    </w:p>
  </w:footnote>
  <w:footnote w:id="7">
    <w:p w:rsidR="00E410F7" w:rsidRDefault="00E410F7" w:rsidP="00E410F7">
      <w:pPr>
        <w:pStyle w:val="Notedebasdepage"/>
        <w:jc w:val="lowKashida"/>
        <w:rPr>
          <w:sz w:val="24"/>
          <w:rtl/>
        </w:rPr>
      </w:pPr>
      <w:r>
        <w:rPr>
          <w:rStyle w:val="Appelnotedebasdep"/>
          <w:sz w:val="24"/>
          <w:rtl/>
        </w:rPr>
        <w:t>(2)</w:t>
      </w:r>
      <w:r>
        <w:rPr>
          <w:sz w:val="24"/>
          <w:rtl/>
        </w:rPr>
        <w:t xml:space="preserve"> راجع د. خالد عبد العزيز </w:t>
      </w:r>
      <w:r>
        <w:rPr>
          <w:rFonts w:hint="cs"/>
          <w:sz w:val="24"/>
          <w:rtl/>
        </w:rPr>
        <w:t xml:space="preserve">غريم </w:t>
      </w:r>
      <w:r>
        <w:rPr>
          <w:sz w:val="24"/>
          <w:rtl/>
        </w:rPr>
        <w:t xml:space="preserve"> </w:t>
      </w:r>
      <w:r>
        <w:rPr>
          <w:sz w:val="24"/>
        </w:rPr>
        <w:t>–</w:t>
      </w:r>
      <w:r>
        <w:rPr>
          <w:sz w:val="24"/>
          <w:rtl/>
        </w:rPr>
        <w:t xml:space="preserve"> </w:t>
      </w:r>
      <w:r>
        <w:rPr>
          <w:rFonts w:hint="cs"/>
          <w:sz w:val="24"/>
          <w:rtl/>
        </w:rPr>
        <w:t>المرجع السابق</w:t>
      </w:r>
      <w:r>
        <w:rPr>
          <w:sz w:val="24"/>
          <w:rtl/>
        </w:rPr>
        <w:t xml:space="preserve"> ، ص 156.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10F7"/>
    <w:rsid w:val="0036151C"/>
    <w:rsid w:val="00DE5641"/>
    <w:rsid w:val="00E410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F7"/>
    <w:pPr>
      <w:bidi/>
      <w:spacing w:after="0" w:line="240" w:lineRule="auto"/>
    </w:pPr>
    <w:rPr>
      <w:rFonts w:ascii="Times New Roman" w:eastAsia="Times New Roman" w:hAnsi="Times New Roman" w:cs="Simplified Arabic"/>
      <w:sz w:val="24"/>
      <w:szCs w:val="32"/>
      <w:lang w:val="en-US"/>
    </w:rPr>
  </w:style>
  <w:style w:type="paragraph" w:styleId="Titre1">
    <w:name w:val="heading 1"/>
    <w:basedOn w:val="Normal"/>
    <w:next w:val="Normal"/>
    <w:link w:val="Titre1Car"/>
    <w:qFormat/>
    <w:rsid w:val="00E410F7"/>
    <w:pPr>
      <w:keepNext/>
      <w:bidi w:val="0"/>
      <w:jc w:val="center"/>
      <w:outlineLvl w:val="0"/>
    </w:pPr>
    <w:rPr>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410F7"/>
    <w:rPr>
      <w:rFonts w:ascii="Times New Roman" w:eastAsia="Times New Roman" w:hAnsi="Times New Roman" w:cs="Simplified Arabic"/>
      <w:sz w:val="32"/>
      <w:szCs w:val="32"/>
      <w:lang w:val="en-US"/>
    </w:rPr>
  </w:style>
  <w:style w:type="character" w:styleId="Appelnotedebasdep">
    <w:name w:val="footnote reference"/>
    <w:basedOn w:val="Policepardfaut"/>
    <w:semiHidden/>
    <w:rsid w:val="00E410F7"/>
    <w:rPr>
      <w:vertAlign w:val="superscript"/>
    </w:rPr>
  </w:style>
  <w:style w:type="paragraph" w:styleId="Notedebasdepage">
    <w:name w:val="footnote text"/>
    <w:basedOn w:val="Normal"/>
    <w:link w:val="NotedebasdepageCar"/>
    <w:semiHidden/>
    <w:rsid w:val="00E410F7"/>
    <w:rPr>
      <w:sz w:val="20"/>
      <w:szCs w:val="24"/>
    </w:rPr>
  </w:style>
  <w:style w:type="character" w:customStyle="1" w:styleId="NotedebasdepageCar">
    <w:name w:val="Note de bas de page Car"/>
    <w:basedOn w:val="Policepardfaut"/>
    <w:link w:val="Notedebasdepage"/>
    <w:semiHidden/>
    <w:rsid w:val="00E410F7"/>
    <w:rPr>
      <w:rFonts w:ascii="Times New Roman" w:eastAsia="Times New Roman" w:hAnsi="Times New Roman" w:cs="Simplified Arabic"/>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2021-01-08T21:42:00Z</dcterms:created>
  <dcterms:modified xsi:type="dcterms:W3CDTF">2021-01-08T21:42:00Z</dcterms:modified>
</cp:coreProperties>
</file>