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E75" w:rsidRDefault="00C96E75" w:rsidP="00C96E75">
      <w:pPr>
        <w:spacing w:line="580" w:lineRule="atLeast"/>
        <w:jc w:val="lowKashida"/>
        <w:rPr>
          <w:rFonts w:hint="cs"/>
          <w:sz w:val="32"/>
          <w:rtl/>
        </w:rPr>
      </w:pPr>
      <w:r>
        <w:rPr>
          <w:rFonts w:hint="cs"/>
          <w:b/>
          <w:bCs/>
          <w:sz w:val="32"/>
          <w:u w:val="single"/>
          <w:rtl/>
          <w:lang w:bidi="ar-DZ"/>
        </w:rPr>
        <w:t>2</w:t>
      </w:r>
      <w:r w:rsidRPr="00AC6FE1">
        <w:rPr>
          <w:rFonts w:hint="cs"/>
          <w:b/>
          <w:bCs/>
          <w:sz w:val="32"/>
          <w:u w:val="single"/>
          <w:rtl/>
          <w:lang w:bidi="ar-DZ"/>
        </w:rPr>
        <w:t>-</w:t>
      </w:r>
      <w:r w:rsidRPr="00AC6FE1">
        <w:rPr>
          <w:b/>
          <w:bCs/>
          <w:sz w:val="32"/>
          <w:u w:val="single"/>
          <w:rtl/>
        </w:rPr>
        <w:t>وفي إنجلترا</w:t>
      </w:r>
      <w:r w:rsidRPr="00ED3EA6">
        <w:rPr>
          <w:sz w:val="32"/>
          <w:rtl/>
        </w:rPr>
        <w:t xml:space="preserve"> </w:t>
      </w:r>
    </w:p>
    <w:p w:rsidR="00C96E75" w:rsidRPr="00ED3EA6" w:rsidRDefault="00C96E75" w:rsidP="00C96E75">
      <w:pPr>
        <w:spacing w:line="580" w:lineRule="atLeast"/>
        <w:jc w:val="lowKashida"/>
        <w:rPr>
          <w:rFonts w:hint="cs"/>
          <w:sz w:val="32"/>
          <w:rtl/>
        </w:rPr>
      </w:pPr>
      <w:r w:rsidRPr="00ED3EA6">
        <w:rPr>
          <w:sz w:val="32"/>
          <w:rtl/>
        </w:rPr>
        <w:t>توجد لجان إدارية ذات اختصاص  قضائي يعهد إليها القانون بنظر بعض المسائل الإدارية وهي هيئات إداري</w:t>
      </w:r>
      <w:r w:rsidRPr="00ED3EA6">
        <w:rPr>
          <w:rFonts w:hint="cs"/>
          <w:sz w:val="32"/>
          <w:rtl/>
        </w:rPr>
        <w:t>ة</w:t>
      </w:r>
      <w:r w:rsidRPr="00ED3EA6">
        <w:rPr>
          <w:sz w:val="32"/>
          <w:rtl/>
        </w:rPr>
        <w:t xml:space="preserve"> تنشأ للنظر في موضوع محدد ويشترك في عضويتها موظفون إداريون كما أن هذه الهيئات لا يمكن اعتبارها قضاءاً إدارياً مستقلاً.</w:t>
      </w:r>
    </w:p>
    <w:p w:rsidR="00C96E75" w:rsidRPr="00ED3EA6" w:rsidRDefault="00C96E75" w:rsidP="00C96E75">
      <w:pPr>
        <w:ind w:left="60"/>
        <w:rPr>
          <w:sz w:val="32"/>
          <w:rtl/>
        </w:rPr>
      </w:pPr>
      <w:r w:rsidRPr="00ED3EA6">
        <w:rPr>
          <w:rFonts w:hint="cs"/>
          <w:sz w:val="32"/>
          <w:rtl/>
        </w:rPr>
        <w:t>وظهرت هذه اللجان في مجالات الزراعة والصحة والنقل والتامينات الاجتماعية وضرائب الدخل لتكون بمثابة نوع من المحاكم الادارية ؛ وتؤدي هذه اللجان مهمتها في الرقابة علي اعمال الادارة وتحت رقابة القضاء العادي الذي يختص بالنظر في الطعون التي تقدم ضد قرارات هذه اللجان استئنافاً او نقضاً ؛ولقد انشئي مجلس قومي للاشراف علي هذه اللجان مع بقائها خاضعة لرقابة القضاء العادي ؛</w:t>
      </w:r>
      <w:r w:rsidRPr="00ED3EA6">
        <w:rPr>
          <w:sz w:val="32"/>
          <w:rtl/>
        </w:rPr>
        <w:t>إلا أن نظام الحكم في إنجلترا قد تطور في السنوات الأخيرة تطوراً واضحاً ، وأن التشريعات التي صدرت في هذه الفترة أدت إلي تدخل الحكومة في شئون الأفراد واتساع نطاق وظائف الدولة مما أدى إلي إنشاء محاكم ليست لها كيان مستقل</w:t>
      </w:r>
      <w:r w:rsidRPr="00ED3EA6">
        <w:rPr>
          <w:rStyle w:val="Appelnotedebasdep"/>
          <w:sz w:val="32"/>
        </w:rPr>
        <w:footnoteReference w:customMarkFollows="1" w:id="2"/>
        <w:t>(1)</w:t>
      </w:r>
      <w:r w:rsidRPr="00ED3EA6">
        <w:rPr>
          <w:sz w:val="32"/>
          <w:rtl/>
        </w:rPr>
        <w:t>.</w:t>
      </w:r>
    </w:p>
    <w:p w:rsidR="00C96E75" w:rsidRPr="00ED3EA6" w:rsidRDefault="00C96E75" w:rsidP="00C96E75">
      <w:pPr>
        <w:pStyle w:val="Titre1"/>
        <w:bidi/>
        <w:spacing w:line="580" w:lineRule="atLeast"/>
        <w:jc w:val="lowKashida"/>
        <w:rPr>
          <w:rtl/>
        </w:rPr>
      </w:pPr>
      <w:r w:rsidRPr="00C20A1B">
        <w:rPr>
          <w:b/>
          <w:bCs/>
          <w:rtl/>
        </w:rPr>
        <w:t xml:space="preserve">القانون الإداري في </w:t>
      </w:r>
      <w:r>
        <w:rPr>
          <w:rFonts w:hint="cs"/>
          <w:b/>
          <w:bCs/>
          <w:rtl/>
        </w:rPr>
        <w:t>مصر</w:t>
      </w:r>
      <w:r w:rsidRPr="00ED3EA6">
        <w:rPr>
          <w:rtl/>
        </w:rPr>
        <w:t xml:space="preserve">: </w:t>
      </w:r>
    </w:p>
    <w:p w:rsidR="00C96E75" w:rsidRPr="00ED3EA6" w:rsidRDefault="00C96E75" w:rsidP="00C96E75">
      <w:pPr>
        <w:spacing w:line="580" w:lineRule="atLeast"/>
        <w:jc w:val="lowKashida"/>
        <w:rPr>
          <w:sz w:val="32"/>
          <w:rtl/>
        </w:rPr>
      </w:pPr>
      <w:r w:rsidRPr="00ED3EA6">
        <w:rPr>
          <w:sz w:val="32"/>
          <w:rtl/>
        </w:rPr>
        <w:tab/>
        <w:t>كان</w:t>
      </w:r>
      <w:r>
        <w:rPr>
          <w:rFonts w:hint="cs"/>
          <w:sz w:val="32"/>
          <w:rtl/>
        </w:rPr>
        <w:t xml:space="preserve"> النظام</w:t>
      </w:r>
      <w:r w:rsidRPr="00ED3EA6">
        <w:rPr>
          <w:sz w:val="32"/>
          <w:rtl/>
        </w:rPr>
        <w:t xml:space="preserve"> </w:t>
      </w:r>
      <w:r>
        <w:rPr>
          <w:rFonts w:hint="cs"/>
          <w:sz w:val="32"/>
          <w:rtl/>
        </w:rPr>
        <w:t>المصري</w:t>
      </w:r>
      <w:r w:rsidRPr="00ED3EA6">
        <w:rPr>
          <w:sz w:val="32"/>
          <w:rtl/>
        </w:rPr>
        <w:t xml:space="preserve"> قبل الاستقلال </w:t>
      </w:r>
      <w:r>
        <w:rPr>
          <w:rFonts w:hint="cs"/>
          <w:sz w:val="32"/>
          <w:rtl/>
        </w:rPr>
        <w:t>ي</w:t>
      </w:r>
      <w:r w:rsidRPr="00ED3EA6">
        <w:rPr>
          <w:sz w:val="32"/>
          <w:rtl/>
        </w:rPr>
        <w:t>تبع النظام الإنجليزي فيما يتعلق بالقانون الإداري والرقابة القضائية على الأعمال الإدارية، أما بعد الإستقلال فقد اتبع نهج</w:t>
      </w:r>
      <w:r>
        <w:rPr>
          <w:rFonts w:hint="cs"/>
          <w:sz w:val="32"/>
          <w:rtl/>
        </w:rPr>
        <w:t xml:space="preserve"> </w:t>
      </w:r>
      <w:r w:rsidRPr="00ED3EA6">
        <w:rPr>
          <w:sz w:val="32"/>
          <w:rtl/>
        </w:rPr>
        <w:t>الرقابة القضائية على أعمال الإدارة.</w:t>
      </w:r>
      <w:r w:rsidRPr="00ED3EA6">
        <w:rPr>
          <w:sz w:val="32"/>
        </w:rPr>
        <w:t xml:space="preserve"> </w:t>
      </w:r>
      <w:r w:rsidRPr="00ED3EA6">
        <w:rPr>
          <w:rStyle w:val="Appelnotedebasdep"/>
          <w:sz w:val="32"/>
        </w:rPr>
        <w:footnoteReference w:customMarkFollows="1" w:id="3"/>
        <w:t>(1)</w:t>
      </w:r>
      <w:r w:rsidRPr="00ED3EA6">
        <w:rPr>
          <w:sz w:val="32"/>
          <w:rtl/>
        </w:rPr>
        <w:t xml:space="preserve">ويطبق في ذلك نظاماً يتضمن نوعاً واحد من المحاكم تختص بالفصل في كافة صور المنازعات، سواء أكانت بين الأفراد أو بينهم وبين الدولة ولو كانت هذه الأخيرة تتصرف بإعتبارها سلطة عامة، وتوجد محكمة عليا واحدة على رأس النظام القضائي الذي يتميز بالوحدة لا بالإزدواج وتطبق المحاكم في </w:t>
      </w:r>
      <w:r>
        <w:rPr>
          <w:rFonts w:hint="cs"/>
          <w:sz w:val="32"/>
          <w:rtl/>
        </w:rPr>
        <w:t>مصر</w:t>
      </w:r>
      <w:r w:rsidRPr="00ED3EA6">
        <w:rPr>
          <w:sz w:val="32"/>
          <w:rtl/>
        </w:rPr>
        <w:t xml:space="preserve"> علي نشاط الإدارة نفس القواعد التي تحكم نشاط الأفراد.</w:t>
      </w:r>
    </w:p>
    <w:p w:rsidR="00C96E75" w:rsidRPr="00ED3EA6" w:rsidRDefault="00C96E75" w:rsidP="00C96E75">
      <w:pPr>
        <w:spacing w:line="580" w:lineRule="atLeast"/>
        <w:jc w:val="lowKashida"/>
        <w:rPr>
          <w:sz w:val="32"/>
          <w:rtl/>
        </w:rPr>
      </w:pPr>
      <w:r w:rsidRPr="00ED3EA6">
        <w:rPr>
          <w:sz w:val="32"/>
          <w:rtl/>
        </w:rPr>
        <w:tab/>
        <w:t xml:space="preserve">إلا أن هذا لا يجعلنا نكرر العبارة التي تقول أن القانون الإداري يدور مع وجود قضاء إداري مستقل كما هو حادث في الفقه اللاتيني </w:t>
      </w:r>
      <w:r w:rsidRPr="00ED3EA6">
        <w:rPr>
          <w:rFonts w:hint="cs"/>
          <w:sz w:val="32"/>
          <w:rtl/>
        </w:rPr>
        <w:t xml:space="preserve">، </w:t>
      </w:r>
      <w:r w:rsidRPr="00ED3EA6">
        <w:rPr>
          <w:sz w:val="32"/>
          <w:rtl/>
        </w:rPr>
        <w:t xml:space="preserve">فلا أحد يستطيع أن ينفي وجود القانون </w:t>
      </w:r>
      <w:r w:rsidRPr="00ED3EA6">
        <w:rPr>
          <w:sz w:val="32"/>
          <w:rtl/>
        </w:rPr>
        <w:lastRenderedPageBreak/>
        <w:t>الإداري في ظل الدولة الحديثة</w:t>
      </w:r>
      <w:r w:rsidRPr="00ED3EA6">
        <w:rPr>
          <w:rFonts w:hint="cs"/>
          <w:sz w:val="32"/>
          <w:rtl/>
        </w:rPr>
        <w:t>،</w:t>
      </w:r>
      <w:r w:rsidRPr="00ED3EA6">
        <w:rPr>
          <w:sz w:val="32"/>
          <w:rtl/>
        </w:rPr>
        <w:t xml:space="preserve"> فالسودان يعرف القانون الإداري بالمعنى الضيق أو الفني، ذلك لأن القانون السوداني يعرف المنازعة الإدارية ويميزها عن سائر أنواع المنازعات ويخصها بأحكام تتميز في كثير من الحالات عن قواعد القانون الخاص</w:t>
      </w:r>
      <w:r w:rsidRPr="00ED3EA6">
        <w:rPr>
          <w:rStyle w:val="Appelnotedebasdep"/>
          <w:sz w:val="32"/>
        </w:rPr>
        <w:footnoteReference w:customMarkFollows="1" w:id="4"/>
        <w:t>(2)</w:t>
      </w:r>
      <w:r w:rsidRPr="00ED3EA6">
        <w:rPr>
          <w:sz w:val="32"/>
          <w:rtl/>
        </w:rPr>
        <w:t>،</w:t>
      </w:r>
      <w:r w:rsidRPr="00ED3EA6">
        <w:rPr>
          <w:rFonts w:hint="cs"/>
          <w:sz w:val="32"/>
          <w:rtl/>
        </w:rPr>
        <w:t xml:space="preserve"> </w:t>
      </w:r>
      <w:r w:rsidRPr="00ED3EA6">
        <w:rPr>
          <w:sz w:val="32"/>
          <w:rtl/>
        </w:rPr>
        <w:t>وذلك في ظل القضاء الموحد بإنشاء دوائر مختلفة تختص كل منها بنوع من أنواع المنازعات علي مستوى المحكمة العليا الإتحادية أو الولائية.</w:t>
      </w:r>
    </w:p>
    <w:p w:rsidR="00C96E75" w:rsidRPr="00ED3EA6" w:rsidRDefault="00C96E75" w:rsidP="00C96E75">
      <w:pPr>
        <w:spacing w:line="580" w:lineRule="atLeast"/>
        <w:jc w:val="lowKashida"/>
        <w:rPr>
          <w:sz w:val="32"/>
          <w:rtl/>
        </w:rPr>
      </w:pPr>
      <w:r w:rsidRPr="00ED3EA6">
        <w:rPr>
          <w:sz w:val="32"/>
          <w:rtl/>
        </w:rPr>
        <w:tab/>
        <w:t xml:space="preserve">وإلي جانب المحاكم العادية التي تفصل في المنازعات الإدارية توجد اللجان الخاصة، والتي تفصل في أمور فنية ذات طبيعة خاصة تقتضي إلماماً بأمور ليست في متناول المحكمة العادية، وهذه اللجان لها دور أشبه بدور المحاكم في الفصل في المنازعات وجاء تشكيل هذه اللجان الخاصة لكثرة القوانين المتعلقة بالنشاط الإداري مثل الإسكان وتخطيط الأراضي وتوزيعها والنزاعات العمالية والمسائل المتعلقة بالتأمينات الإجتماعية ولجنة استئناف العاملين بالخدمة العامة فيما يتعلق بتطبيق قوانين الخدمة العامة، والتي خلفها ديوان </w:t>
      </w:r>
      <w:r w:rsidRPr="00ED3EA6">
        <w:rPr>
          <w:rFonts w:hint="cs"/>
          <w:sz w:val="32"/>
          <w:rtl/>
        </w:rPr>
        <w:t>العدالة</w:t>
      </w:r>
      <w:r w:rsidRPr="00ED3EA6">
        <w:rPr>
          <w:sz w:val="32"/>
          <w:rtl/>
        </w:rPr>
        <w:t xml:space="preserve"> </w:t>
      </w:r>
      <w:r w:rsidRPr="00ED3EA6">
        <w:rPr>
          <w:rFonts w:hint="cs"/>
          <w:sz w:val="32"/>
          <w:rtl/>
        </w:rPr>
        <w:t>ل</w:t>
      </w:r>
      <w:r w:rsidRPr="00ED3EA6">
        <w:rPr>
          <w:sz w:val="32"/>
          <w:rtl/>
        </w:rPr>
        <w:t>لعاملين بالخدمة العامة</w:t>
      </w:r>
      <w:r w:rsidRPr="00ED3EA6">
        <w:rPr>
          <w:rStyle w:val="Appelnotedebasdep"/>
          <w:sz w:val="32"/>
        </w:rPr>
        <w:footnoteReference w:customMarkFollows="1" w:id="5"/>
        <w:t>(1)</w:t>
      </w:r>
      <w:r w:rsidRPr="00ED3EA6">
        <w:rPr>
          <w:sz w:val="32"/>
          <w:rtl/>
        </w:rPr>
        <w:t>، وتخضع هذه اللجان الخاصة للرقابة القضائية في ظل القضاء الموحد بحيث يمكن للمتظلم أن يستأنف قرار هذه اللجان أمام المحاكم</w:t>
      </w:r>
      <w:r w:rsidRPr="00ED3EA6">
        <w:rPr>
          <w:rFonts w:hint="cs"/>
          <w:sz w:val="32"/>
          <w:rtl/>
        </w:rPr>
        <w:t xml:space="preserve"> ذات الاختصاص في الفصل في الطعون الإدارية وفق قانون القضاء الإداري.</w:t>
      </w:r>
      <w:r w:rsidRPr="00ED3EA6">
        <w:rPr>
          <w:sz w:val="32"/>
          <w:rtl/>
        </w:rPr>
        <w:t xml:space="preserve"> ونجد </w:t>
      </w:r>
      <w:r w:rsidRPr="00ED3EA6">
        <w:rPr>
          <w:rFonts w:hint="cs"/>
          <w:sz w:val="32"/>
          <w:rtl/>
        </w:rPr>
        <w:t xml:space="preserve">ثمة </w:t>
      </w:r>
      <w:r w:rsidRPr="00ED3EA6">
        <w:rPr>
          <w:sz w:val="32"/>
          <w:rtl/>
        </w:rPr>
        <w:t>إختلافاً في سبل التظلم القضائي حسب التشريع  الذي يحكم عمل هذه اللجان.</w:t>
      </w:r>
      <w:r w:rsidRPr="00ED3EA6">
        <w:rPr>
          <w:rStyle w:val="Appelnotedebasdep"/>
          <w:sz w:val="32"/>
        </w:rPr>
        <w:footnoteReference w:customMarkFollows="1" w:id="6"/>
        <w:t>(2)</w:t>
      </w:r>
    </w:p>
    <w:p w:rsidR="00C96E75" w:rsidRPr="00ED3EA6" w:rsidRDefault="00C96E75" w:rsidP="00C96E75">
      <w:pPr>
        <w:spacing w:line="580" w:lineRule="atLeast"/>
        <w:jc w:val="lowKashida"/>
        <w:rPr>
          <w:sz w:val="32"/>
          <w:rtl/>
        </w:rPr>
      </w:pPr>
      <w:r w:rsidRPr="00ED3EA6">
        <w:rPr>
          <w:sz w:val="32"/>
          <w:rtl/>
        </w:rPr>
        <w:tab/>
        <w:t xml:space="preserve">ونادي بعض فقهاء القانون العام في </w:t>
      </w:r>
      <w:r>
        <w:rPr>
          <w:rFonts w:hint="cs"/>
          <w:sz w:val="32"/>
          <w:rtl/>
        </w:rPr>
        <w:t>مصر</w:t>
      </w:r>
      <w:r w:rsidRPr="00ED3EA6">
        <w:rPr>
          <w:sz w:val="32"/>
          <w:rtl/>
        </w:rPr>
        <w:t xml:space="preserve"> بضرورة اتباع نظام ازدواج القضاء من خلال مداولات مؤتمر العدل والإصلاح القانوني الذي انعقد في مارس 1991م ولم يجد هذا النداء استجابة من قبل المؤتمرين.</w:t>
      </w:r>
    </w:p>
    <w:p w:rsidR="00C96E75" w:rsidRPr="00ED3EA6" w:rsidRDefault="00C96E75" w:rsidP="00C96E75">
      <w:pPr>
        <w:spacing w:line="580" w:lineRule="atLeast"/>
        <w:jc w:val="lowKashida"/>
        <w:rPr>
          <w:sz w:val="32"/>
          <w:rtl/>
        </w:rPr>
      </w:pPr>
      <w:r w:rsidRPr="00ED3EA6">
        <w:rPr>
          <w:sz w:val="32"/>
          <w:rtl/>
        </w:rPr>
        <w:tab/>
        <w:t>وأرى أن نظام وحدة القضاء ، هو النظام ال</w:t>
      </w:r>
      <w:r w:rsidRPr="00ED3EA6">
        <w:rPr>
          <w:rFonts w:hint="cs"/>
          <w:sz w:val="32"/>
          <w:rtl/>
        </w:rPr>
        <w:t>أ</w:t>
      </w:r>
      <w:r w:rsidRPr="00ED3EA6">
        <w:rPr>
          <w:sz w:val="32"/>
          <w:rtl/>
        </w:rPr>
        <w:t xml:space="preserve">مثل الذي يمكن اتباعه في </w:t>
      </w:r>
      <w:r>
        <w:rPr>
          <w:rFonts w:hint="cs"/>
          <w:sz w:val="32"/>
          <w:rtl/>
        </w:rPr>
        <w:t>مصر</w:t>
      </w:r>
      <w:r w:rsidRPr="00ED3EA6">
        <w:rPr>
          <w:sz w:val="32"/>
          <w:rtl/>
        </w:rPr>
        <w:t xml:space="preserve">، ويمكن علاج المشكلات الواردة في إطار القضاء الموحد وذلك بالعمل علي قيام قضاء إداري متخصص وغير مستقل، ويمكن البدء فيه بتوسيع الدوائر الإدارية في محكمة الاستئناف </w:t>
      </w:r>
      <w:r w:rsidRPr="00ED3EA6">
        <w:rPr>
          <w:sz w:val="32"/>
          <w:rtl/>
        </w:rPr>
        <w:lastRenderedPageBreak/>
        <w:t xml:space="preserve">والمحكمة العليا، حتى تضع لنا هذه الدوائر نظريات ومبادئ قانونية منفصلة عن القانون الخاص </w:t>
      </w:r>
      <w:r w:rsidRPr="00ED3EA6">
        <w:rPr>
          <w:rFonts w:hint="cs"/>
          <w:sz w:val="32"/>
          <w:rtl/>
        </w:rPr>
        <w:t>لتشكل قواعد</w:t>
      </w:r>
      <w:r w:rsidRPr="00ED3EA6">
        <w:rPr>
          <w:sz w:val="32"/>
          <w:rtl/>
        </w:rPr>
        <w:t xml:space="preserve"> قانون إداري من صنع هذا القضاء المتخصص </w:t>
      </w:r>
      <w:r w:rsidRPr="00ED3EA6">
        <w:rPr>
          <w:sz w:val="32"/>
        </w:rPr>
        <w:t>–</w:t>
      </w:r>
      <w:r w:rsidRPr="00ED3EA6">
        <w:rPr>
          <w:sz w:val="32"/>
          <w:rtl/>
        </w:rPr>
        <w:t xml:space="preserve"> أكثر مرونة لإحتواء المنازعات الإدارية، ونقصد بالقضاء أن يكون القاضي الذي ينظر الدعاوي الإدارية متخصص وملم بطبيعة الروابط القانونية في هذه الدعاوي وما ينبغي أن تكون عليه لتعلقها بالمرافق العامة وحسن سيرها من جهة وضرورة حفظ وصيانة حقوق الأفراد من الجبهة الأخرى والمواءمة بينهما.</w:t>
      </w:r>
    </w:p>
    <w:p w:rsidR="00C96E75" w:rsidRPr="00ED3EA6" w:rsidRDefault="00C96E75" w:rsidP="00C96E75">
      <w:pPr>
        <w:spacing w:line="580" w:lineRule="atLeast"/>
        <w:jc w:val="lowKashida"/>
        <w:rPr>
          <w:sz w:val="32"/>
          <w:rtl/>
        </w:rPr>
      </w:pPr>
      <w:r w:rsidRPr="00ED3EA6">
        <w:rPr>
          <w:sz w:val="32"/>
          <w:rtl/>
        </w:rPr>
        <w:tab/>
        <w:t xml:space="preserve">ولابد أيضاً من التخلص من مشاكل إزدواجية الرؤية القانونية والقضائية السائدة في الأحكام الصادرة من المحكمة العليا نتيجة لتبني مذاهب وفلسفات قانونية متباينة لدى القضاة. </w:t>
      </w:r>
    </w:p>
    <w:p w:rsidR="00C96E75" w:rsidRPr="00ED3EA6" w:rsidRDefault="00C96E75" w:rsidP="00C96E75">
      <w:pPr>
        <w:spacing w:line="580" w:lineRule="atLeast"/>
        <w:jc w:val="lowKashida"/>
        <w:rPr>
          <w:sz w:val="32"/>
          <w:rtl/>
        </w:rPr>
      </w:pPr>
    </w:p>
    <w:p w:rsidR="00DE5641" w:rsidRDefault="00DE5641" w:rsidP="00C96E75"/>
    <w:sectPr w:rsidR="00DE5641" w:rsidSect="00DE56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B78" w:rsidRDefault="002C6B78" w:rsidP="00C96E75">
      <w:r>
        <w:separator/>
      </w:r>
    </w:p>
  </w:endnote>
  <w:endnote w:type="continuationSeparator" w:id="1">
    <w:p w:rsidR="002C6B78" w:rsidRDefault="002C6B78" w:rsidP="00C96E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B78" w:rsidRDefault="002C6B78" w:rsidP="00C96E75">
      <w:r>
        <w:separator/>
      </w:r>
    </w:p>
  </w:footnote>
  <w:footnote w:type="continuationSeparator" w:id="1">
    <w:p w:rsidR="002C6B78" w:rsidRDefault="002C6B78" w:rsidP="00C96E75">
      <w:r>
        <w:continuationSeparator/>
      </w:r>
    </w:p>
  </w:footnote>
  <w:footnote w:id="2">
    <w:p w:rsidR="00C96E75" w:rsidRDefault="00C96E75" w:rsidP="00C96E75">
      <w:pPr>
        <w:pStyle w:val="Notedebasdepage"/>
        <w:jc w:val="lowKashida"/>
        <w:rPr>
          <w:sz w:val="24"/>
          <w:rtl/>
        </w:rPr>
      </w:pPr>
      <w:r>
        <w:rPr>
          <w:rFonts w:hint="cs"/>
          <w:sz w:val="24"/>
          <w:rtl/>
        </w:rPr>
        <w:t xml:space="preserve">(1) </w:t>
      </w:r>
      <w:r>
        <w:rPr>
          <w:sz w:val="24"/>
        </w:rPr>
        <w:t>Willin . A. Robson : Justice and Administrative Law – 2</w:t>
      </w:r>
      <w:r>
        <w:rPr>
          <w:sz w:val="24"/>
          <w:vertAlign w:val="superscript"/>
        </w:rPr>
        <w:t>nd</w:t>
      </w:r>
      <w:r>
        <w:rPr>
          <w:sz w:val="24"/>
        </w:rPr>
        <w:t xml:space="preserve"> edition 1947 p30-31</w:t>
      </w:r>
      <w:r>
        <w:rPr>
          <w:sz w:val="24"/>
          <w:rtl/>
        </w:rPr>
        <w:t>.</w:t>
      </w:r>
    </w:p>
  </w:footnote>
  <w:footnote w:id="3">
    <w:p w:rsidR="00C96E75" w:rsidRDefault="00C96E75" w:rsidP="00C96E75">
      <w:pPr>
        <w:pStyle w:val="Notedebasdepage"/>
        <w:jc w:val="lowKashida"/>
        <w:rPr>
          <w:sz w:val="24"/>
          <w:rtl/>
        </w:rPr>
      </w:pPr>
      <w:r>
        <w:rPr>
          <w:rStyle w:val="Appelnotedebasdep"/>
          <w:sz w:val="24"/>
          <w:rtl/>
        </w:rPr>
        <w:t>(1)</w:t>
      </w:r>
      <w:r>
        <w:rPr>
          <w:sz w:val="24"/>
          <w:rtl/>
        </w:rPr>
        <w:t xml:space="preserve"> راجع مؤلف مولانا </w:t>
      </w:r>
      <w:r>
        <w:rPr>
          <w:sz w:val="24"/>
        </w:rPr>
        <w:t>–</w:t>
      </w:r>
      <w:r>
        <w:rPr>
          <w:sz w:val="24"/>
          <w:rtl/>
        </w:rPr>
        <w:t xml:space="preserve"> محمد محمود أبو قصيصة نائب رئيس القضاء في السودان </w:t>
      </w:r>
      <w:r>
        <w:rPr>
          <w:rFonts w:hint="cs"/>
          <w:sz w:val="24"/>
          <w:rtl/>
        </w:rPr>
        <w:t>-</w:t>
      </w:r>
      <w:r>
        <w:rPr>
          <w:sz w:val="24"/>
          <w:rtl/>
        </w:rPr>
        <w:t>مبادئ القانون الإداري</w:t>
      </w:r>
      <w:r>
        <w:rPr>
          <w:rFonts w:hint="cs"/>
          <w:sz w:val="24"/>
          <w:rtl/>
        </w:rPr>
        <w:t xml:space="preserve">، دار جامعة أم درمان الإسلامية للطباعة والنشر ، </w:t>
      </w:r>
      <w:r>
        <w:rPr>
          <w:sz w:val="24"/>
          <w:rtl/>
        </w:rPr>
        <w:t xml:space="preserve"> ط. 1990م </w:t>
      </w:r>
      <w:r>
        <w:rPr>
          <w:rFonts w:hint="cs"/>
          <w:sz w:val="24"/>
          <w:rtl/>
        </w:rPr>
        <w:t xml:space="preserve"> ، </w:t>
      </w:r>
      <w:r>
        <w:rPr>
          <w:sz w:val="24"/>
          <w:rtl/>
        </w:rPr>
        <w:t>ص 7.</w:t>
      </w:r>
    </w:p>
  </w:footnote>
  <w:footnote w:id="4">
    <w:p w:rsidR="00C96E75" w:rsidRDefault="00C96E75" w:rsidP="00C96E75">
      <w:pPr>
        <w:pStyle w:val="Notedebasdepage"/>
        <w:jc w:val="lowKashida"/>
        <w:rPr>
          <w:sz w:val="24"/>
          <w:rtl/>
        </w:rPr>
      </w:pPr>
      <w:r>
        <w:rPr>
          <w:rStyle w:val="Appelnotedebasdep"/>
          <w:sz w:val="24"/>
          <w:rtl/>
        </w:rPr>
        <w:t>(2)</w:t>
      </w:r>
      <w:r>
        <w:rPr>
          <w:sz w:val="24"/>
          <w:rtl/>
        </w:rPr>
        <w:t xml:space="preserve"> راجع الفصل</w:t>
      </w:r>
      <w:r>
        <w:rPr>
          <w:rFonts w:hint="cs"/>
          <w:sz w:val="24"/>
          <w:rtl/>
        </w:rPr>
        <w:t xml:space="preserve"> الثامن </w:t>
      </w:r>
      <w:r>
        <w:rPr>
          <w:sz w:val="24"/>
          <w:rtl/>
        </w:rPr>
        <w:t xml:space="preserve"> من قانون الإجراءات المدنية 1983م.</w:t>
      </w:r>
    </w:p>
  </w:footnote>
  <w:footnote w:id="5">
    <w:p w:rsidR="00C96E75" w:rsidRDefault="00C96E75" w:rsidP="00C96E75">
      <w:pPr>
        <w:pStyle w:val="Notedebasdepage"/>
        <w:jc w:val="lowKashida"/>
        <w:rPr>
          <w:sz w:val="24"/>
          <w:rtl/>
        </w:rPr>
      </w:pPr>
      <w:r>
        <w:rPr>
          <w:rStyle w:val="Appelnotedebasdep"/>
          <w:sz w:val="24"/>
          <w:rtl/>
        </w:rPr>
        <w:t>(1)</w:t>
      </w:r>
      <w:r>
        <w:rPr>
          <w:sz w:val="24"/>
          <w:rtl/>
        </w:rPr>
        <w:t xml:space="preserve"> راجع مولانا محمد محمود أبو قصيصة </w:t>
      </w:r>
      <w:r>
        <w:rPr>
          <w:sz w:val="24"/>
        </w:rPr>
        <w:t>–</w:t>
      </w:r>
      <w:r>
        <w:rPr>
          <w:sz w:val="24"/>
          <w:rtl/>
        </w:rPr>
        <w:t xml:space="preserve"> المرجع السابق ص 34.</w:t>
      </w:r>
    </w:p>
  </w:footnote>
  <w:footnote w:id="6">
    <w:p w:rsidR="00C96E75" w:rsidRDefault="00C96E75" w:rsidP="00C96E75">
      <w:pPr>
        <w:pStyle w:val="Notedebasdepage"/>
        <w:jc w:val="lowKashida"/>
        <w:rPr>
          <w:sz w:val="24"/>
          <w:rtl/>
        </w:rPr>
      </w:pPr>
      <w:r>
        <w:rPr>
          <w:rStyle w:val="Appelnotedebasdep"/>
          <w:sz w:val="24"/>
          <w:rtl/>
        </w:rPr>
        <w:t>(2)</w:t>
      </w:r>
      <w:r>
        <w:rPr>
          <w:sz w:val="24"/>
          <w:rtl/>
        </w:rPr>
        <w:t xml:space="preserve"> المرجع السابق ص 34.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6E75"/>
    <w:rsid w:val="002C6B78"/>
    <w:rsid w:val="00C96E75"/>
    <w:rsid w:val="00DE56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75"/>
    <w:pPr>
      <w:bidi/>
      <w:spacing w:after="0" w:line="240" w:lineRule="auto"/>
    </w:pPr>
    <w:rPr>
      <w:rFonts w:ascii="Times New Roman" w:eastAsia="Times New Roman" w:hAnsi="Times New Roman" w:cs="Simplified Arabic"/>
      <w:sz w:val="24"/>
      <w:szCs w:val="32"/>
      <w:lang w:val="en-US"/>
    </w:rPr>
  </w:style>
  <w:style w:type="paragraph" w:styleId="Titre1">
    <w:name w:val="heading 1"/>
    <w:basedOn w:val="Normal"/>
    <w:next w:val="Normal"/>
    <w:link w:val="Titre1Car"/>
    <w:qFormat/>
    <w:rsid w:val="00C96E75"/>
    <w:pPr>
      <w:keepNext/>
      <w:bidi w:val="0"/>
      <w:jc w:val="center"/>
      <w:outlineLvl w:val="0"/>
    </w:pPr>
    <w:rPr>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96E75"/>
    <w:rPr>
      <w:rFonts w:ascii="Times New Roman" w:eastAsia="Times New Roman" w:hAnsi="Times New Roman" w:cs="Simplified Arabic"/>
      <w:sz w:val="32"/>
      <w:szCs w:val="32"/>
      <w:lang w:val="en-US"/>
    </w:rPr>
  </w:style>
  <w:style w:type="character" w:styleId="Appelnotedebasdep">
    <w:name w:val="footnote reference"/>
    <w:basedOn w:val="Policepardfaut"/>
    <w:semiHidden/>
    <w:rsid w:val="00C96E75"/>
    <w:rPr>
      <w:vertAlign w:val="superscript"/>
    </w:rPr>
  </w:style>
  <w:style w:type="paragraph" w:styleId="Notedebasdepage">
    <w:name w:val="footnote text"/>
    <w:basedOn w:val="Normal"/>
    <w:link w:val="NotedebasdepageCar"/>
    <w:semiHidden/>
    <w:rsid w:val="00C96E75"/>
    <w:rPr>
      <w:sz w:val="20"/>
      <w:szCs w:val="24"/>
    </w:rPr>
  </w:style>
  <w:style w:type="character" w:customStyle="1" w:styleId="NotedebasdepageCar">
    <w:name w:val="Note de bas de page Car"/>
    <w:basedOn w:val="Policepardfaut"/>
    <w:link w:val="Notedebasdepage"/>
    <w:semiHidden/>
    <w:rsid w:val="00C96E75"/>
    <w:rPr>
      <w:rFonts w:ascii="Times New Roman" w:eastAsia="Times New Roman" w:hAnsi="Times New Roman" w:cs="Simplified Arabic"/>
      <w:sz w:val="2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3108</Characters>
  <Application>Microsoft Office Word</Application>
  <DocSecurity>0</DocSecurity>
  <Lines>25</Lines>
  <Paragraphs>7</Paragraphs>
  <ScaleCrop>false</ScaleCrop>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2021-01-08T21:41:00Z</dcterms:created>
  <dcterms:modified xsi:type="dcterms:W3CDTF">2021-01-08T21:42:00Z</dcterms:modified>
</cp:coreProperties>
</file>