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64" w:rsidRPr="00C20A1B" w:rsidRDefault="004D2264" w:rsidP="004D2264">
      <w:pPr>
        <w:pStyle w:val="Titre1"/>
        <w:bidi/>
        <w:spacing w:line="580" w:lineRule="atLeast"/>
        <w:jc w:val="lowKashida"/>
        <w:rPr>
          <w:rFonts w:hint="cs"/>
          <w:b/>
          <w:bCs/>
          <w:rtl/>
        </w:rPr>
      </w:pPr>
      <w:r w:rsidRPr="00C20A1B">
        <w:rPr>
          <w:rFonts w:hint="cs"/>
          <w:b/>
          <w:bCs/>
          <w:rtl/>
        </w:rPr>
        <w:t xml:space="preserve">نشأة </w:t>
      </w:r>
      <w:r w:rsidRPr="00C20A1B">
        <w:rPr>
          <w:b/>
          <w:bCs/>
          <w:rtl/>
        </w:rPr>
        <w:t>القانون الإداري:</w:t>
      </w:r>
    </w:p>
    <w:p w:rsidR="004D2264" w:rsidRPr="00ED3EA6" w:rsidRDefault="004D2264" w:rsidP="004D2264">
      <w:pPr>
        <w:spacing w:line="580" w:lineRule="atLeast"/>
        <w:jc w:val="lowKashida"/>
        <w:rPr>
          <w:sz w:val="32"/>
          <w:rtl/>
        </w:rPr>
      </w:pPr>
      <w:r w:rsidRPr="00ED3EA6">
        <w:rPr>
          <w:sz w:val="32"/>
          <w:rtl/>
        </w:rPr>
        <w:tab/>
        <w:t xml:space="preserve">ترجع نشأة القانون الإداري في فرنسا حينما قامت الثورة الفرنسية في عام 1789م عندما أراد قواد الثورة تطبيق مجموعة من الإصلاحات، ولكنهم كانوا يخشون أن تقف المحاكم القضائية عقبة في سبيل هذه الإصلاحات </w:t>
      </w:r>
      <w:r w:rsidRPr="00ED3EA6">
        <w:rPr>
          <w:rFonts w:hint="cs"/>
          <w:sz w:val="32"/>
          <w:rtl/>
        </w:rPr>
        <w:t>وحجتهم أن</w:t>
      </w:r>
      <w:r w:rsidRPr="00ED3EA6">
        <w:rPr>
          <w:sz w:val="32"/>
          <w:rtl/>
        </w:rPr>
        <w:t xml:space="preserve"> هذه المحاكم كانت تتدخل في شئون الإدارة وأمام هذا الموقف قررت الثورة حرمان المحاكم من مراقبة أعمال الإدارة العامة واستندت في هذا إلي تفسير خاطئ لمبدأ الفصل بين السلطات مؤداة أنه لا يجوز للحاكم التدخل في أعمال الإدارة كما لا يجوز للإدارة أن تتدخل في أحكام القضاء ، بل أن رجال الثورة أعطوا الإدارة حق الفصل في المنازعات التي تكون طرفاً فيها سمىَّ هذا النظام في ذلك الو</w:t>
      </w:r>
      <w:r w:rsidRPr="00ED3EA6">
        <w:rPr>
          <w:rFonts w:hint="cs"/>
          <w:sz w:val="32"/>
          <w:rtl/>
        </w:rPr>
        <w:t>ق</w:t>
      </w:r>
      <w:r w:rsidRPr="00ED3EA6">
        <w:rPr>
          <w:sz w:val="32"/>
          <w:rtl/>
        </w:rPr>
        <w:t>ت بإسم (الإدارة القاضية).</w:t>
      </w:r>
    </w:p>
    <w:p w:rsidR="004D2264" w:rsidRPr="00ED3EA6" w:rsidRDefault="004D2264" w:rsidP="004D2264">
      <w:pPr>
        <w:spacing w:line="580" w:lineRule="atLeast"/>
        <w:jc w:val="lowKashida"/>
        <w:rPr>
          <w:sz w:val="32"/>
          <w:rtl/>
        </w:rPr>
      </w:pPr>
      <w:r w:rsidRPr="00ED3EA6">
        <w:rPr>
          <w:sz w:val="32"/>
          <w:rtl/>
        </w:rPr>
        <w:tab/>
        <w:t>إلا أن هذا النظام قد وجهت له بعض العيوب أمكن تلافيها بإنشاء مجلس الدولة ومجالس الأقاليم.</w:t>
      </w:r>
      <w:r w:rsidRPr="00ED3EA6">
        <w:rPr>
          <w:rStyle w:val="Appelnotedebasdep"/>
          <w:sz w:val="32"/>
        </w:rPr>
        <w:footnoteReference w:customMarkFollows="1" w:id="2"/>
        <w:t>(1)</w:t>
      </w:r>
    </w:p>
    <w:p w:rsidR="004D2264" w:rsidRPr="00ED3EA6" w:rsidRDefault="004D2264" w:rsidP="004D2264">
      <w:pPr>
        <w:spacing w:line="580" w:lineRule="atLeast"/>
        <w:jc w:val="lowKashida"/>
        <w:rPr>
          <w:sz w:val="32"/>
          <w:rtl/>
        </w:rPr>
      </w:pPr>
      <w:r w:rsidRPr="00ED3EA6">
        <w:rPr>
          <w:sz w:val="32"/>
          <w:rtl/>
        </w:rPr>
        <w:tab/>
        <w:t>لذلك يمكن القول بأن فرنسا أول دولة عرفت نظام مجلس الدولة ، والذي يتمتع بإختصاص عام في المنازعات الإدارية ، ويملك حق إنشاء مبادئ وأحكام القانون الإداري ، ولقد ساعدته في هذه المهمة صلاته المستمرة بالإدارة وخبرته بطبيعة العمل الإداري التي أكتسبها من خلال أدائه لدوره كناصح أو كمستشار للإدارة.</w:t>
      </w:r>
      <w:r w:rsidRPr="00ED3EA6">
        <w:rPr>
          <w:rStyle w:val="Appelnotedebasdep"/>
          <w:sz w:val="32"/>
        </w:rPr>
        <w:footnoteReference w:customMarkFollows="1" w:id="3"/>
        <w:t>(2)</w:t>
      </w:r>
    </w:p>
    <w:p w:rsidR="004D2264" w:rsidRDefault="004D2264" w:rsidP="004D2264">
      <w:pPr>
        <w:spacing w:line="580" w:lineRule="atLeast"/>
        <w:jc w:val="lowKashida"/>
        <w:rPr>
          <w:rFonts w:hint="cs"/>
          <w:sz w:val="32"/>
          <w:rtl/>
        </w:rPr>
      </w:pPr>
      <w:r w:rsidRPr="00ED3EA6">
        <w:rPr>
          <w:sz w:val="32"/>
          <w:rtl/>
        </w:rPr>
        <w:tab/>
        <w:t>وقد نقلت مصر عن فرنسا نظام مجلس الدولة ، حيث تم إنشاء مجلس الدولة المصري علي غرار مجلس الدولة الفرنسي ولم يمنح اختصاصاً عاماً في نظر المنازعات الإدارية ، إنما قيدت النصوص القانونية الصادرة بشأنه بمسائل معينة، إلا أنه يلاحظ أن هذه النصوص المحددة لإختصاص المجلس شملت في الواقع معظم المنازعات الإدارية.</w:t>
      </w:r>
      <w:r w:rsidRPr="00ED3EA6">
        <w:rPr>
          <w:rStyle w:val="Appelnotedebasdep"/>
          <w:sz w:val="32"/>
        </w:rPr>
        <w:footnoteReference w:customMarkFollows="1" w:id="4"/>
        <w:t>(3)</w:t>
      </w:r>
    </w:p>
    <w:p w:rsidR="004D2264" w:rsidRPr="00ED3EA6" w:rsidRDefault="004D2264" w:rsidP="004D2264">
      <w:pPr>
        <w:spacing w:line="580" w:lineRule="atLeast"/>
        <w:jc w:val="lowKashida"/>
        <w:rPr>
          <w:sz w:val="32"/>
        </w:rPr>
      </w:pPr>
    </w:p>
    <w:p w:rsidR="004D2264" w:rsidRPr="00ED3EA6" w:rsidRDefault="004D2264" w:rsidP="004D2264">
      <w:pPr>
        <w:pStyle w:val="Titre1"/>
        <w:bidi/>
        <w:spacing w:line="580" w:lineRule="atLeast"/>
        <w:jc w:val="lowKashida"/>
        <w:rPr>
          <w:rFonts w:hint="cs"/>
          <w:rtl/>
        </w:rPr>
      </w:pPr>
      <w:r w:rsidRPr="00AC6FE1">
        <w:rPr>
          <w:b/>
          <w:bCs/>
          <w:u w:val="single"/>
          <w:rtl/>
        </w:rPr>
        <w:lastRenderedPageBreak/>
        <w:t xml:space="preserve">القانون الإداري في </w:t>
      </w:r>
      <w:r>
        <w:rPr>
          <w:rFonts w:hint="cs"/>
          <w:b/>
          <w:bCs/>
          <w:u w:val="single"/>
          <w:rtl/>
        </w:rPr>
        <w:t>النظام الأنجلوساكسوني</w:t>
      </w:r>
      <w:r w:rsidRPr="00ED3EA6">
        <w:rPr>
          <w:rtl/>
        </w:rPr>
        <w:t>:</w:t>
      </w:r>
    </w:p>
    <w:p w:rsidR="004D2264" w:rsidRPr="00ED3EA6" w:rsidRDefault="004D2264" w:rsidP="004D2264">
      <w:pPr>
        <w:spacing w:line="580" w:lineRule="atLeast"/>
        <w:jc w:val="lowKashida"/>
        <w:rPr>
          <w:sz w:val="32"/>
          <w:rtl/>
        </w:rPr>
      </w:pPr>
      <w:r w:rsidRPr="00ED3EA6">
        <w:rPr>
          <w:sz w:val="32"/>
          <w:rtl/>
        </w:rPr>
        <w:tab/>
        <w:t>ن</w:t>
      </w:r>
      <w:r w:rsidRPr="00ED3EA6">
        <w:rPr>
          <w:rFonts w:hint="cs"/>
          <w:sz w:val="32"/>
          <w:rtl/>
        </w:rPr>
        <w:t>هت</w:t>
      </w:r>
      <w:r w:rsidRPr="00ED3EA6">
        <w:rPr>
          <w:sz w:val="32"/>
          <w:rtl/>
        </w:rPr>
        <w:t xml:space="preserve">م بدراسة القانون الإداري في إنجلترا وأمريكا باعتبارهما ينتميان إلي الفقه الأنجلوسكسوني وهو الفقه </w:t>
      </w:r>
      <w:r w:rsidRPr="00ED3EA6">
        <w:rPr>
          <w:rFonts w:hint="cs"/>
          <w:sz w:val="32"/>
          <w:rtl/>
        </w:rPr>
        <w:t xml:space="preserve">الذي </w:t>
      </w:r>
      <w:r w:rsidRPr="00ED3EA6">
        <w:rPr>
          <w:sz w:val="32"/>
          <w:rtl/>
        </w:rPr>
        <w:t>نشأ منه القانون السوداني.</w:t>
      </w:r>
    </w:p>
    <w:p w:rsidR="004D2264" w:rsidRPr="00ED3EA6" w:rsidRDefault="004D2264" w:rsidP="004D2264">
      <w:pPr>
        <w:spacing w:line="580" w:lineRule="atLeast"/>
        <w:jc w:val="lowKashida"/>
        <w:rPr>
          <w:sz w:val="32"/>
          <w:rtl/>
        </w:rPr>
      </w:pPr>
      <w:r w:rsidRPr="00ED3EA6">
        <w:rPr>
          <w:sz w:val="32"/>
          <w:rtl/>
        </w:rPr>
        <w:tab/>
        <w:t xml:space="preserve">كثير من الفقهاء يربطون بين وجود قضاء إداري مستقل عن القضاء العادي </w:t>
      </w:r>
      <w:r w:rsidRPr="00ED3EA6">
        <w:rPr>
          <w:sz w:val="32"/>
        </w:rPr>
        <w:t>–</w:t>
      </w:r>
      <w:r w:rsidRPr="00ED3EA6">
        <w:rPr>
          <w:sz w:val="32"/>
          <w:rtl/>
        </w:rPr>
        <w:t xml:space="preserve"> له حق الفصل في المنازعات الإدارية دون التقيد بمبادئ وأحكام القانون الخاص القائم في الدولة </w:t>
      </w:r>
      <w:r w:rsidRPr="00ED3EA6">
        <w:rPr>
          <w:sz w:val="32"/>
        </w:rPr>
        <w:t>–</w:t>
      </w:r>
      <w:r w:rsidRPr="00ED3EA6">
        <w:rPr>
          <w:sz w:val="32"/>
          <w:rtl/>
        </w:rPr>
        <w:t xml:space="preserve"> ووجود قانون إداري مستقل في تلك الدولة أما إذا لم يوجد مثل هذا القضاء الإداري المستقل فإن وجود قانون إداري أمر مشكوكاً فيه</w:t>
      </w:r>
      <w:r w:rsidRPr="00ED3EA6">
        <w:rPr>
          <w:rStyle w:val="Appelnotedebasdep"/>
          <w:sz w:val="32"/>
        </w:rPr>
        <w:footnoteReference w:customMarkFollows="1" w:id="5"/>
        <w:t>(4)</w:t>
      </w:r>
      <w:r w:rsidRPr="00ED3EA6">
        <w:rPr>
          <w:sz w:val="32"/>
          <w:rtl/>
        </w:rPr>
        <w:t>.</w:t>
      </w:r>
    </w:p>
    <w:p w:rsidR="004D2264" w:rsidRPr="00ED3EA6" w:rsidRDefault="004D2264" w:rsidP="004D2264">
      <w:pPr>
        <w:spacing w:line="580" w:lineRule="atLeast"/>
        <w:jc w:val="lowKashida"/>
        <w:rPr>
          <w:sz w:val="32"/>
          <w:rtl/>
        </w:rPr>
      </w:pPr>
      <w:r w:rsidRPr="00ED3EA6">
        <w:rPr>
          <w:sz w:val="32"/>
          <w:rtl/>
        </w:rPr>
        <w:tab/>
        <w:t>والقانون الإداري بالمعنى السابق، هو نظام قانوني له نظرياته الخاصة ومبادئه الخاصة التي تحكم نشاط السلطات الإدارية بوجه عام، ويقرر هذا القانون للسلطة الإدارية حقوقاً وامتيازات ليست مقررة للأفراد.</w:t>
      </w:r>
    </w:p>
    <w:p w:rsidR="004D2264" w:rsidRPr="00ED3EA6" w:rsidRDefault="004D2264" w:rsidP="004D2264">
      <w:pPr>
        <w:spacing w:line="580" w:lineRule="atLeast"/>
        <w:jc w:val="lowKashida"/>
        <w:rPr>
          <w:sz w:val="32"/>
          <w:rtl/>
        </w:rPr>
      </w:pPr>
      <w:r w:rsidRPr="00ED3EA6">
        <w:rPr>
          <w:sz w:val="32"/>
          <w:rtl/>
        </w:rPr>
        <w:tab/>
        <w:t xml:space="preserve">ومثل هذا القانون بالتحديد السابق لا وجود له في إنجلترا وأمريكا، </w:t>
      </w:r>
      <w:r w:rsidRPr="00ED3EA6">
        <w:rPr>
          <w:rFonts w:hint="cs"/>
          <w:sz w:val="32"/>
          <w:rtl/>
        </w:rPr>
        <w:t>للاختلاف</w:t>
      </w:r>
      <w:r w:rsidRPr="00ED3EA6">
        <w:rPr>
          <w:sz w:val="32"/>
          <w:rtl/>
        </w:rPr>
        <w:t xml:space="preserve"> الجوهري بين المبادئ الدستورية والقانونية التي يقوم عليها نظام الحكم والإدارة في </w:t>
      </w:r>
      <w:r w:rsidRPr="00ED3EA6">
        <w:rPr>
          <w:rFonts w:hint="cs"/>
          <w:sz w:val="32"/>
          <w:rtl/>
        </w:rPr>
        <w:t>هاتين الدولتين</w:t>
      </w:r>
      <w:r w:rsidRPr="00ED3EA6">
        <w:rPr>
          <w:sz w:val="32"/>
          <w:rtl/>
        </w:rPr>
        <w:t xml:space="preserve"> من ناحية وفي فرنسا من ناحية أخرى، الأمر الذي يجعل من المتعذر نشوء قانون إداري علي غرار القانون الإداري الفرنسي في كل من إنجلترا وأمريكا، ذلك لأن المبدأ الأساسي الذي يقوم عليه نظام الحكم والإدارة في إنجلترا وأمريكا يقتضي إنفراد كل سلطة بوظائفها دون أن يشاركها في مباشرة هذه الوظيفة غيرها من السلطات بمعنى أن السلطة القضائية تختص بالوظيفة القضائية وتتمتع في مباشرة وظيفتها بحق السيادة وبهذه الصفة تفرض سلطاتها علي السلطة الإدارية والأفراد على السواء وفقاً لمبادئ وقواعد قانون واحدة</w:t>
      </w:r>
      <w:r w:rsidRPr="00ED3EA6">
        <w:rPr>
          <w:rStyle w:val="Appelnotedebasdep"/>
          <w:sz w:val="32"/>
        </w:rPr>
        <w:footnoteReference w:customMarkFollows="1" w:id="6"/>
        <w:t>(1)</w:t>
      </w:r>
      <w:r w:rsidRPr="00ED3EA6">
        <w:rPr>
          <w:sz w:val="32"/>
          <w:rtl/>
        </w:rPr>
        <w:t>.</w:t>
      </w:r>
    </w:p>
    <w:p w:rsidR="004D2264" w:rsidRPr="00ED3EA6" w:rsidRDefault="004D2264" w:rsidP="004D2264">
      <w:pPr>
        <w:pStyle w:val="Corpsdetexte2"/>
        <w:spacing w:line="580" w:lineRule="atLeast"/>
        <w:jc w:val="both"/>
        <w:rPr>
          <w:rtl/>
        </w:rPr>
      </w:pPr>
      <w:r w:rsidRPr="00ED3EA6">
        <w:rPr>
          <w:rtl/>
        </w:rPr>
        <w:tab/>
        <w:t>ولكن ليس معنى  ذلك أنه لا يوجد في إنجلترا أمريكا هيئة واحدة قضائية تنظر في المسائل والمنازعات الإدارية وأنه لا توجد في هاتين الدولتين قواعد قانونية تنظم السلطة الإدارية وتحدد اختصاصاتها وحقوقها وسلطاتها.</w:t>
      </w:r>
    </w:p>
    <w:p w:rsidR="004D2264" w:rsidRPr="00ED3EA6" w:rsidRDefault="004D2264" w:rsidP="004D2264">
      <w:pPr>
        <w:spacing w:line="580" w:lineRule="atLeast"/>
        <w:jc w:val="lowKashida"/>
        <w:rPr>
          <w:rFonts w:hint="cs"/>
          <w:sz w:val="32"/>
          <w:rtl/>
        </w:rPr>
      </w:pPr>
      <w:r w:rsidRPr="00AC6FE1">
        <w:rPr>
          <w:rFonts w:hint="cs"/>
          <w:b/>
          <w:bCs/>
          <w:sz w:val="32"/>
          <w:rtl/>
        </w:rPr>
        <w:lastRenderedPageBreak/>
        <w:t>1-</w:t>
      </w:r>
      <w:r w:rsidRPr="00AC6FE1">
        <w:rPr>
          <w:b/>
          <w:bCs/>
          <w:sz w:val="32"/>
          <w:u w:val="single"/>
          <w:rtl/>
        </w:rPr>
        <w:t>ففي أمريكا</w:t>
      </w:r>
      <w:r w:rsidRPr="00AC6FE1">
        <w:rPr>
          <w:b/>
          <w:bCs/>
          <w:sz w:val="32"/>
          <w:rtl/>
        </w:rPr>
        <w:t xml:space="preserve"> </w:t>
      </w:r>
      <w:r w:rsidRPr="00ED3EA6">
        <w:rPr>
          <w:sz w:val="32"/>
          <w:rtl/>
        </w:rPr>
        <w:t xml:space="preserve">توجد جهات إدارية لها بعض الإختصاصات القضائية غير أن هذه الجهات الإدارية </w:t>
      </w:r>
      <w:r w:rsidRPr="00ED3EA6">
        <w:rPr>
          <w:sz w:val="32"/>
        </w:rPr>
        <w:t>–</w:t>
      </w:r>
      <w:r w:rsidRPr="00ED3EA6">
        <w:rPr>
          <w:sz w:val="32"/>
          <w:rtl/>
        </w:rPr>
        <w:t xml:space="preserve"> تعتبر في علاقتها بالقضاء العادي مجرد محاكم درجة أولى أو محاكم ابتدائية ولا يمكن إعتبارها قضاءاً إدارياً مستقلاً عن القضاء العادي الموحد.</w:t>
      </w:r>
    </w:p>
    <w:p w:rsidR="004D2264" w:rsidRPr="00ED3EA6" w:rsidRDefault="004D2264" w:rsidP="004D2264">
      <w:pPr>
        <w:ind w:left="60"/>
        <w:rPr>
          <w:rFonts w:hint="cs"/>
          <w:sz w:val="32"/>
          <w:rtl/>
        </w:rPr>
      </w:pPr>
      <w:r w:rsidRPr="00ED3EA6">
        <w:rPr>
          <w:rFonts w:hint="cs"/>
          <w:sz w:val="32"/>
          <w:rtl/>
        </w:rPr>
        <w:t>ومن امثلة تلك اللجان ؛ لجنة التجارة ؛ لجنة العمل الفيدرالي ؛ لجنة التامين الاجتماعي.</w:t>
      </w:r>
    </w:p>
    <w:p w:rsidR="004D2264" w:rsidRPr="00ED3EA6" w:rsidRDefault="004D2264" w:rsidP="004D2264">
      <w:pPr>
        <w:spacing w:line="580" w:lineRule="atLeast"/>
        <w:jc w:val="lowKashida"/>
        <w:rPr>
          <w:rFonts w:hint="cs"/>
          <w:sz w:val="32"/>
          <w:rtl/>
        </w:rPr>
      </w:pPr>
    </w:p>
    <w:p w:rsidR="00DE5641" w:rsidRDefault="00DE5641" w:rsidP="004D2264"/>
    <w:sectPr w:rsidR="00DE5641" w:rsidSect="00DE56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ACC" w:rsidRDefault="003A6ACC" w:rsidP="004D2264">
      <w:r>
        <w:separator/>
      </w:r>
    </w:p>
  </w:endnote>
  <w:endnote w:type="continuationSeparator" w:id="1">
    <w:p w:rsidR="003A6ACC" w:rsidRDefault="003A6ACC" w:rsidP="004D22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ACC" w:rsidRDefault="003A6ACC" w:rsidP="004D2264">
      <w:r>
        <w:separator/>
      </w:r>
    </w:p>
  </w:footnote>
  <w:footnote w:type="continuationSeparator" w:id="1">
    <w:p w:rsidR="003A6ACC" w:rsidRDefault="003A6ACC" w:rsidP="004D2264">
      <w:r>
        <w:continuationSeparator/>
      </w:r>
    </w:p>
  </w:footnote>
  <w:footnote w:id="2">
    <w:p w:rsidR="004D2264" w:rsidRDefault="004D2264" w:rsidP="004D2264">
      <w:pPr>
        <w:pStyle w:val="Notedebasdepage"/>
        <w:jc w:val="lowKashida"/>
        <w:rPr>
          <w:sz w:val="24"/>
          <w:rtl/>
        </w:rPr>
      </w:pPr>
      <w:r>
        <w:rPr>
          <w:rStyle w:val="Appelnotedebasdep"/>
          <w:sz w:val="24"/>
        </w:rPr>
        <w:t>(1)</w:t>
      </w:r>
      <w:r>
        <w:rPr>
          <w:sz w:val="24"/>
          <w:rtl/>
        </w:rPr>
        <w:t xml:space="preserve"> راجع الدكتور يسري محمد العصار </w:t>
      </w:r>
      <w:r>
        <w:rPr>
          <w:sz w:val="24"/>
        </w:rPr>
        <w:t>–</w:t>
      </w:r>
      <w:r>
        <w:rPr>
          <w:sz w:val="24"/>
          <w:rtl/>
        </w:rPr>
        <w:t xml:space="preserve"> محاضرات في القانون الإداري</w:t>
      </w:r>
      <w:r>
        <w:rPr>
          <w:rFonts w:hint="cs"/>
          <w:sz w:val="24"/>
          <w:rtl/>
        </w:rPr>
        <w:t xml:space="preserve"> </w:t>
      </w:r>
      <w:r>
        <w:rPr>
          <w:sz w:val="24"/>
          <w:rtl/>
        </w:rPr>
        <w:t>–</w:t>
      </w:r>
      <w:r>
        <w:rPr>
          <w:rFonts w:hint="cs"/>
          <w:sz w:val="24"/>
          <w:rtl/>
        </w:rPr>
        <w:t xml:space="preserve"> جامعة القاهرة</w:t>
      </w:r>
      <w:r>
        <w:rPr>
          <w:sz w:val="24"/>
          <w:rtl/>
        </w:rPr>
        <w:t xml:space="preserve"> ط 1989م ص17.</w:t>
      </w:r>
    </w:p>
  </w:footnote>
  <w:footnote w:id="3">
    <w:p w:rsidR="004D2264" w:rsidRDefault="004D2264" w:rsidP="004D2264">
      <w:pPr>
        <w:pStyle w:val="Notedebasdepage"/>
        <w:jc w:val="lowKashida"/>
        <w:rPr>
          <w:sz w:val="24"/>
          <w:rtl/>
        </w:rPr>
      </w:pPr>
      <w:r>
        <w:rPr>
          <w:rStyle w:val="Appelnotedebasdep"/>
          <w:sz w:val="24"/>
        </w:rPr>
        <w:t>(2)</w:t>
      </w:r>
      <w:r>
        <w:rPr>
          <w:sz w:val="24"/>
          <w:rtl/>
        </w:rPr>
        <w:t xml:space="preserve"> د. يسري العصار </w:t>
      </w:r>
      <w:r>
        <w:rPr>
          <w:sz w:val="24"/>
        </w:rPr>
        <w:t>–</w:t>
      </w:r>
      <w:r>
        <w:rPr>
          <w:sz w:val="24"/>
          <w:rtl/>
        </w:rPr>
        <w:t xml:space="preserve"> المرجع السابق ص89.</w:t>
      </w:r>
    </w:p>
  </w:footnote>
  <w:footnote w:id="4">
    <w:p w:rsidR="004D2264" w:rsidRDefault="004D2264" w:rsidP="004D2264">
      <w:pPr>
        <w:pStyle w:val="Notedebasdepage"/>
        <w:jc w:val="lowKashida"/>
        <w:rPr>
          <w:sz w:val="24"/>
          <w:rtl/>
        </w:rPr>
      </w:pPr>
      <w:r>
        <w:rPr>
          <w:rStyle w:val="Appelnotedebasdep"/>
          <w:sz w:val="24"/>
        </w:rPr>
        <w:t>(3)</w:t>
      </w:r>
      <w:r>
        <w:rPr>
          <w:sz w:val="24"/>
          <w:rtl/>
        </w:rPr>
        <w:t xml:space="preserve"> د. محمد فؤاد مهنا </w:t>
      </w:r>
      <w:r>
        <w:rPr>
          <w:sz w:val="24"/>
        </w:rPr>
        <w:t>–</w:t>
      </w:r>
      <w:r>
        <w:rPr>
          <w:sz w:val="24"/>
          <w:rtl/>
        </w:rPr>
        <w:t xml:space="preserve"> المرجع السابق ص89.</w:t>
      </w:r>
    </w:p>
  </w:footnote>
  <w:footnote w:id="5">
    <w:p w:rsidR="004D2264" w:rsidRDefault="004D2264" w:rsidP="004D2264">
      <w:pPr>
        <w:pStyle w:val="Notedebasdepage"/>
        <w:jc w:val="lowKashida"/>
        <w:rPr>
          <w:sz w:val="24"/>
          <w:rtl/>
        </w:rPr>
      </w:pPr>
      <w:r>
        <w:rPr>
          <w:rStyle w:val="Appelnotedebasdep"/>
          <w:sz w:val="24"/>
        </w:rPr>
        <w:t>(4)</w:t>
      </w:r>
      <w:r>
        <w:rPr>
          <w:sz w:val="24"/>
          <w:rtl/>
        </w:rPr>
        <w:t xml:space="preserve"> المرجع السابق ص 87.</w:t>
      </w:r>
    </w:p>
  </w:footnote>
  <w:footnote w:id="6">
    <w:p w:rsidR="004D2264" w:rsidRDefault="004D2264" w:rsidP="004D2264">
      <w:pPr>
        <w:pStyle w:val="Notedebasdepage"/>
        <w:jc w:val="lowKashida"/>
        <w:rPr>
          <w:sz w:val="24"/>
          <w:rtl/>
        </w:rPr>
      </w:pPr>
      <w:r>
        <w:rPr>
          <w:rStyle w:val="Appelnotedebasdep"/>
          <w:sz w:val="24"/>
          <w:rtl/>
        </w:rPr>
        <w:t>(1)</w:t>
      </w:r>
      <w:r>
        <w:rPr>
          <w:sz w:val="24"/>
          <w:rtl/>
        </w:rPr>
        <w:t xml:space="preserve"> راجع المصدر السابق ص 91.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D2264"/>
    <w:rsid w:val="003A6ACC"/>
    <w:rsid w:val="004D2264"/>
    <w:rsid w:val="00DE56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264"/>
    <w:pPr>
      <w:bidi/>
      <w:spacing w:after="0" w:line="240" w:lineRule="auto"/>
    </w:pPr>
    <w:rPr>
      <w:rFonts w:ascii="Times New Roman" w:eastAsia="Times New Roman" w:hAnsi="Times New Roman" w:cs="Simplified Arabic"/>
      <w:sz w:val="24"/>
      <w:szCs w:val="32"/>
      <w:lang w:val="en-US"/>
    </w:rPr>
  </w:style>
  <w:style w:type="paragraph" w:styleId="Titre1">
    <w:name w:val="heading 1"/>
    <w:basedOn w:val="Normal"/>
    <w:next w:val="Normal"/>
    <w:link w:val="Titre1Car"/>
    <w:qFormat/>
    <w:rsid w:val="004D2264"/>
    <w:pPr>
      <w:keepNext/>
      <w:bidi w:val="0"/>
      <w:jc w:val="center"/>
      <w:outlineLvl w:val="0"/>
    </w:pPr>
    <w:rPr>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D2264"/>
    <w:rPr>
      <w:rFonts w:ascii="Times New Roman" w:eastAsia="Times New Roman" w:hAnsi="Times New Roman" w:cs="Simplified Arabic"/>
      <w:sz w:val="32"/>
      <w:szCs w:val="32"/>
      <w:lang w:val="en-US"/>
    </w:rPr>
  </w:style>
  <w:style w:type="character" w:styleId="Appelnotedebasdep">
    <w:name w:val="footnote reference"/>
    <w:basedOn w:val="Policepardfaut"/>
    <w:semiHidden/>
    <w:rsid w:val="004D2264"/>
    <w:rPr>
      <w:vertAlign w:val="superscript"/>
    </w:rPr>
  </w:style>
  <w:style w:type="paragraph" w:styleId="Corpsdetexte2">
    <w:name w:val="Body Text 2"/>
    <w:basedOn w:val="Normal"/>
    <w:link w:val="Corpsdetexte2Car"/>
    <w:rsid w:val="004D2264"/>
    <w:pPr>
      <w:jc w:val="lowKashida"/>
    </w:pPr>
    <w:rPr>
      <w:sz w:val="32"/>
    </w:rPr>
  </w:style>
  <w:style w:type="character" w:customStyle="1" w:styleId="Corpsdetexte2Car">
    <w:name w:val="Corps de texte 2 Car"/>
    <w:basedOn w:val="Policepardfaut"/>
    <w:link w:val="Corpsdetexte2"/>
    <w:rsid w:val="004D2264"/>
    <w:rPr>
      <w:rFonts w:ascii="Times New Roman" w:eastAsia="Times New Roman" w:hAnsi="Times New Roman" w:cs="Simplified Arabic"/>
      <w:sz w:val="32"/>
      <w:szCs w:val="32"/>
      <w:lang w:val="en-US"/>
    </w:rPr>
  </w:style>
  <w:style w:type="paragraph" w:styleId="Notedebasdepage">
    <w:name w:val="footnote text"/>
    <w:basedOn w:val="Normal"/>
    <w:link w:val="NotedebasdepageCar"/>
    <w:semiHidden/>
    <w:rsid w:val="004D2264"/>
    <w:rPr>
      <w:sz w:val="20"/>
      <w:szCs w:val="24"/>
    </w:rPr>
  </w:style>
  <w:style w:type="character" w:customStyle="1" w:styleId="NotedebasdepageCar">
    <w:name w:val="Note de bas de page Car"/>
    <w:basedOn w:val="Policepardfaut"/>
    <w:link w:val="Notedebasdepage"/>
    <w:semiHidden/>
    <w:rsid w:val="004D2264"/>
    <w:rPr>
      <w:rFonts w:ascii="Times New Roman" w:eastAsia="Times New Roman" w:hAnsi="Times New Roman" w:cs="Simplified Arabic"/>
      <w:sz w:val="20"/>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2655</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2021-01-08T21:39:00Z</dcterms:created>
  <dcterms:modified xsi:type="dcterms:W3CDTF">2021-01-08T21:39:00Z</dcterms:modified>
</cp:coreProperties>
</file>