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45" w:rsidRPr="00E214E5" w:rsidRDefault="00601145" w:rsidP="00601145">
      <w:pPr>
        <w:spacing w:after="0" w:line="360" w:lineRule="auto"/>
        <w:jc w:val="center"/>
        <w:rPr>
          <w:rFonts w:ascii="Calibri" w:eastAsia="Calibri" w:hAnsi="Calibri" w:cs="Arial"/>
          <w:b/>
          <w:sz w:val="26"/>
          <w:szCs w:val="26"/>
        </w:rPr>
      </w:pPr>
      <w:r w:rsidRPr="00E214E5">
        <w:rPr>
          <w:rFonts w:ascii="Calibri" w:eastAsia="Calibri" w:hAnsi="Calibri" w:cs="Arial"/>
          <w:b/>
          <w:sz w:val="26"/>
          <w:szCs w:val="26"/>
        </w:rPr>
        <w:t xml:space="preserve">Ministère de l’enseignement supérieur et de la recherche scientifique </w:t>
      </w:r>
    </w:p>
    <w:p w:rsidR="00601145" w:rsidRPr="00135FFA" w:rsidRDefault="00601145" w:rsidP="00601145">
      <w:pPr>
        <w:spacing w:after="0" w:line="360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135FFA">
        <w:rPr>
          <w:rFonts w:ascii="Calibri" w:eastAsia="Calibri" w:hAnsi="Calibri" w:cs="Arial"/>
          <w:b/>
          <w:sz w:val="28"/>
          <w:szCs w:val="28"/>
        </w:rPr>
        <w:t>Université Oran 2</w:t>
      </w:r>
    </w:p>
    <w:p w:rsidR="00601145" w:rsidRDefault="00601145" w:rsidP="000E4910">
      <w:pPr>
        <w:spacing w:after="0" w:line="36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Faculté</w:t>
      </w:r>
      <w:r w:rsidR="000E4910">
        <w:rPr>
          <w:rFonts w:ascii="Calibri" w:eastAsia="Calibri" w:hAnsi="Calibri" w:cs="Arial"/>
          <w:b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sz w:val="24"/>
          <w:szCs w:val="24"/>
        </w:rPr>
        <w:t xml:space="preserve"> des sciences économiques, Sciences de gestion et des sciences commerciales</w:t>
      </w:r>
    </w:p>
    <w:p w:rsidR="00601145" w:rsidRDefault="00601145" w:rsidP="00601145">
      <w:pPr>
        <w:spacing w:after="0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167139" w:rsidRDefault="00167139" w:rsidP="00AA65A7">
      <w:pPr>
        <w:spacing w:after="0"/>
        <w:rPr>
          <w:rFonts w:ascii="Calibri" w:eastAsia="Calibri" w:hAnsi="Calibri" w:cs="Arial"/>
          <w:b/>
          <w:szCs w:val="24"/>
        </w:rPr>
      </w:pPr>
      <w:r>
        <w:rPr>
          <w:b/>
          <w:szCs w:val="24"/>
        </w:rPr>
        <w:t>3</w:t>
      </w:r>
      <w:r w:rsidRPr="00601145">
        <w:rPr>
          <w:b/>
          <w:szCs w:val="24"/>
          <w:vertAlign w:val="superscript"/>
        </w:rPr>
        <w:t>ème</w:t>
      </w:r>
      <w:r>
        <w:rPr>
          <w:b/>
          <w:szCs w:val="24"/>
        </w:rPr>
        <w:t xml:space="preserve"> année finance et comptabilité</w:t>
      </w:r>
      <w:r>
        <w:rPr>
          <w:rFonts w:ascii="Calibri" w:eastAsia="Calibri" w:hAnsi="Calibri" w:cs="Arial"/>
          <w:b/>
          <w:szCs w:val="24"/>
        </w:rPr>
        <w:t xml:space="preserve">         </w:t>
      </w:r>
      <w:r>
        <w:rPr>
          <w:b/>
          <w:szCs w:val="24"/>
        </w:rPr>
        <w:t xml:space="preserve">                 Matièr</w:t>
      </w:r>
      <w:r>
        <w:rPr>
          <w:rFonts w:ascii="Calibri" w:eastAsia="Calibri" w:hAnsi="Calibri" w:cs="Arial"/>
          <w:b/>
          <w:szCs w:val="24"/>
        </w:rPr>
        <w:t xml:space="preserve">e : </w:t>
      </w:r>
      <w:r>
        <w:rPr>
          <w:b/>
          <w:szCs w:val="24"/>
        </w:rPr>
        <w:t xml:space="preserve">Marché financier            </w:t>
      </w:r>
      <w:r>
        <w:rPr>
          <w:rFonts w:ascii="Calibri" w:eastAsia="Calibri" w:hAnsi="Calibri" w:cs="Arial"/>
          <w:b/>
          <w:szCs w:val="24"/>
        </w:rPr>
        <w:t xml:space="preserve">   </w:t>
      </w:r>
      <w:r w:rsidR="00AA65A7">
        <w:rPr>
          <w:rFonts w:ascii="Calibri" w:eastAsia="Calibri" w:hAnsi="Calibri" w:cs="Arial"/>
          <w:b/>
          <w:szCs w:val="24"/>
        </w:rPr>
        <w:t>L</w:t>
      </w:r>
      <w:r>
        <w:rPr>
          <w:rFonts w:ascii="Calibri" w:eastAsia="Calibri" w:hAnsi="Calibri" w:cs="Arial"/>
          <w:b/>
          <w:szCs w:val="24"/>
        </w:rPr>
        <w:t xml:space="preserve">e  </w:t>
      </w:r>
      <w:r>
        <w:rPr>
          <w:b/>
          <w:szCs w:val="24"/>
        </w:rPr>
        <w:t xml:space="preserve">26 </w:t>
      </w:r>
      <w:r>
        <w:rPr>
          <w:rFonts w:ascii="Calibri" w:eastAsia="Calibri" w:hAnsi="Calibri" w:cs="Arial"/>
          <w:b/>
          <w:szCs w:val="24"/>
        </w:rPr>
        <w:t>/0</w:t>
      </w:r>
      <w:r>
        <w:rPr>
          <w:b/>
          <w:szCs w:val="24"/>
        </w:rPr>
        <w:t>9</w:t>
      </w:r>
      <w:r>
        <w:rPr>
          <w:rFonts w:ascii="Calibri" w:eastAsia="Calibri" w:hAnsi="Calibri" w:cs="Arial"/>
          <w:b/>
          <w:szCs w:val="24"/>
        </w:rPr>
        <w:t>/2020</w:t>
      </w:r>
    </w:p>
    <w:p w:rsidR="00167139" w:rsidRPr="00841FD1" w:rsidRDefault="00167139" w:rsidP="00167139">
      <w:pPr>
        <w:spacing w:after="0"/>
        <w:rPr>
          <w:rFonts w:ascii="Calibri" w:eastAsia="Calibri" w:hAnsi="Calibri" w:cs="Arial"/>
          <w:b/>
          <w:sz w:val="24"/>
          <w:szCs w:val="28"/>
        </w:rPr>
      </w:pPr>
      <w:r>
        <w:rPr>
          <w:rFonts w:ascii="Calibri" w:eastAsia="Calibri" w:hAnsi="Calibri" w:cs="Arial"/>
          <w:b/>
          <w:szCs w:val="24"/>
        </w:rPr>
        <w:t xml:space="preserve">Année universitaire 2019-2020                        </w:t>
      </w:r>
      <w:r>
        <w:rPr>
          <w:b/>
          <w:szCs w:val="24"/>
        </w:rPr>
        <w:t xml:space="preserve">       </w:t>
      </w:r>
      <w:r w:rsidRPr="00841FD1">
        <w:rPr>
          <w:b/>
          <w:sz w:val="24"/>
          <w:szCs w:val="28"/>
        </w:rPr>
        <w:t xml:space="preserve">Sujet </w:t>
      </w:r>
      <w:r>
        <w:rPr>
          <w:rFonts w:hint="cs"/>
          <w:b/>
          <w:sz w:val="24"/>
          <w:szCs w:val="28"/>
          <w:rtl/>
        </w:rPr>
        <w:t xml:space="preserve"> </w:t>
      </w:r>
      <w:r>
        <w:rPr>
          <w:b/>
          <w:sz w:val="24"/>
          <w:szCs w:val="28"/>
        </w:rPr>
        <w:t>A</w:t>
      </w:r>
      <w:r w:rsidR="00AA65A7">
        <w:rPr>
          <w:b/>
          <w:sz w:val="24"/>
          <w:szCs w:val="28"/>
        </w:rPr>
        <w:t xml:space="preserve">    Pour les groupes : 05-06-07-08</w:t>
      </w:r>
    </w:p>
    <w:p w:rsidR="00167139" w:rsidRPr="00167139" w:rsidRDefault="00204510" w:rsidP="00167139">
      <w:pPr>
        <w:spacing w:after="0"/>
        <w:rPr>
          <w:rFonts w:ascii="Calibri" w:eastAsia="Calibri" w:hAnsi="Calibri" w:cs="Arial"/>
          <w:bCs/>
          <w:sz w:val="18"/>
          <w:szCs w:val="20"/>
        </w:rPr>
      </w:pPr>
      <w:r w:rsidRPr="00204510">
        <w:rPr>
          <w:rFonts w:ascii="Calibri" w:eastAsia="Calibri" w:hAnsi="Calibri" w:cs="Arial"/>
          <w:b/>
          <w:noProof/>
          <w:szCs w:val="24"/>
          <w:lang w:eastAsia="fr-FR"/>
        </w:rPr>
        <w:pict>
          <v:roundrect id="_x0000_s1026" style="position:absolute;margin-left:-5.65pt;margin-top:1.05pt;width:482.95pt;height:29.35pt;z-index:-251658752" arcsize="10923f"/>
        </w:pict>
      </w:r>
      <w:r w:rsidR="00167139" w:rsidRPr="00FE1680">
        <w:rPr>
          <w:rFonts w:ascii="Calibri" w:eastAsia="Calibri" w:hAnsi="Calibri" w:cs="Arial"/>
          <w:b/>
          <w:szCs w:val="24"/>
        </w:rPr>
        <w:t xml:space="preserve">Nom et prénom </w:t>
      </w:r>
      <w:r w:rsidR="00167139" w:rsidRPr="00167139">
        <w:rPr>
          <w:rFonts w:ascii="Calibri" w:eastAsia="Calibri" w:hAnsi="Calibri" w:cs="Arial"/>
          <w:bCs/>
          <w:sz w:val="18"/>
          <w:szCs w:val="20"/>
        </w:rPr>
        <w:t>………………………….</w:t>
      </w:r>
      <w:r w:rsidR="00167139">
        <w:rPr>
          <w:rFonts w:ascii="Calibri" w:eastAsia="Calibri" w:hAnsi="Calibri" w:cs="Arial"/>
          <w:bCs/>
          <w:sz w:val="18"/>
          <w:szCs w:val="20"/>
        </w:rPr>
        <w:t>........................</w:t>
      </w:r>
      <w:r w:rsidR="00167139" w:rsidRPr="00167139">
        <w:rPr>
          <w:rFonts w:ascii="Calibri" w:eastAsia="Calibri" w:hAnsi="Calibri" w:cs="Arial"/>
          <w:bCs/>
          <w:sz w:val="18"/>
          <w:szCs w:val="20"/>
        </w:rPr>
        <w:t>.…….…………</w:t>
      </w:r>
      <w:r w:rsidR="00167139">
        <w:rPr>
          <w:rFonts w:ascii="Calibri" w:eastAsia="Calibri" w:hAnsi="Calibri" w:cs="Arial"/>
          <w:b/>
          <w:szCs w:val="24"/>
        </w:rPr>
        <w:t>Groupe</w:t>
      </w:r>
      <w:r w:rsidR="00167139" w:rsidRPr="00167139">
        <w:rPr>
          <w:rFonts w:ascii="Calibri" w:eastAsia="Calibri" w:hAnsi="Calibri" w:cs="Arial"/>
          <w:bCs/>
          <w:sz w:val="20"/>
        </w:rPr>
        <w:t>……………</w:t>
      </w:r>
      <w:r w:rsidR="00167139">
        <w:rPr>
          <w:rFonts w:ascii="Calibri" w:eastAsia="Calibri" w:hAnsi="Calibri" w:cs="Arial"/>
          <w:b/>
          <w:szCs w:val="24"/>
        </w:rPr>
        <w:t>N°d’inscription</w:t>
      </w:r>
      <w:r w:rsidR="00167139" w:rsidRPr="00167139">
        <w:rPr>
          <w:rFonts w:ascii="Calibri" w:eastAsia="Calibri" w:hAnsi="Calibri" w:cs="Arial"/>
          <w:bCs/>
          <w:sz w:val="18"/>
          <w:szCs w:val="20"/>
        </w:rPr>
        <w:t>…………………………………</w:t>
      </w:r>
    </w:p>
    <w:p w:rsidR="00167139" w:rsidRDefault="00167139" w:rsidP="00167139">
      <w:pPr>
        <w:spacing w:after="0"/>
        <w:rPr>
          <w:rFonts w:ascii="Calibri" w:eastAsia="Calibri" w:hAnsi="Calibri" w:cs="Arial"/>
          <w:b/>
          <w:sz w:val="24"/>
          <w:szCs w:val="28"/>
          <w:u w:val="single"/>
        </w:rPr>
      </w:pPr>
    </w:p>
    <w:p w:rsidR="00167139" w:rsidRPr="00E135EB" w:rsidRDefault="00167139" w:rsidP="00167139">
      <w:pPr>
        <w:spacing w:after="0"/>
        <w:rPr>
          <w:rFonts w:ascii="Calibri" w:eastAsia="Calibri" w:hAnsi="Calibri" w:cs="Arial"/>
          <w:b/>
          <w:sz w:val="24"/>
          <w:szCs w:val="28"/>
        </w:rPr>
      </w:pPr>
      <w:r>
        <w:rPr>
          <w:rFonts w:ascii="Calibri" w:eastAsia="Calibri" w:hAnsi="Calibri" w:cs="Arial"/>
          <w:b/>
          <w:sz w:val="24"/>
          <w:szCs w:val="28"/>
          <w:u w:val="single"/>
        </w:rPr>
        <w:t>Répondez à toutes le</w:t>
      </w:r>
      <w:r w:rsidRPr="00E214E5">
        <w:rPr>
          <w:rFonts w:ascii="Calibri" w:eastAsia="Calibri" w:hAnsi="Calibri" w:cs="Arial"/>
          <w:b/>
          <w:sz w:val="24"/>
          <w:szCs w:val="28"/>
          <w:u w:val="single"/>
        </w:rPr>
        <w:t>s questions.</w:t>
      </w:r>
      <w:r>
        <w:rPr>
          <w:rFonts w:ascii="Calibri" w:eastAsia="Calibri" w:hAnsi="Calibri" w:cs="Arial"/>
          <w:b/>
          <w:sz w:val="24"/>
          <w:szCs w:val="28"/>
        </w:rPr>
        <w:t xml:space="preserve">   </w:t>
      </w:r>
    </w:p>
    <w:p w:rsidR="00A75405" w:rsidRPr="00A75405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54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Qui peut émettre des valeurs mobilières ?</w:t>
      </w:r>
    </w:p>
    <w:p w:rsidR="00A75405" w:rsidRPr="00BF10EB" w:rsidRDefault="00A75405" w:rsidP="00A9066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sociétés par actions, l'État, les collectivités locales et les organismes publics</w:t>
      </w:r>
    </w:p>
    <w:p w:rsidR="00A75405" w:rsidRPr="00BF10EB" w:rsidRDefault="00A75405" w:rsidP="00A9066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SARL et les EURL.</w:t>
      </w:r>
    </w:p>
    <w:p w:rsidR="00A75405" w:rsidRDefault="00A75405" w:rsidP="00A9066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personnes physiques</w:t>
      </w:r>
    </w:p>
    <w:p w:rsidR="00BF10EB" w:rsidRPr="00BF10EB" w:rsidRDefault="00BF10EB" w:rsidP="00BF10E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BF10EB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10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Qu’est-ce qu’une obligation ? </w:t>
      </w:r>
    </w:p>
    <w:p w:rsidR="00A75405" w:rsidRPr="00BF10EB" w:rsidRDefault="00A75405" w:rsidP="00A90668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 titre de propriété d'une entreprise</w:t>
      </w:r>
    </w:p>
    <w:p w:rsidR="00A75405" w:rsidRPr="00BF10EB" w:rsidRDefault="00A75405" w:rsidP="00A90668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 bon de caisse.</w:t>
      </w:r>
    </w:p>
    <w:p w:rsidR="00A75405" w:rsidRDefault="00A75405" w:rsidP="00A90668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Un titre de créance</w:t>
      </w:r>
    </w:p>
    <w:p w:rsidR="00BF10EB" w:rsidRPr="00BF10EB" w:rsidRDefault="00BF10EB" w:rsidP="00BF10EB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A75405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540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Quels sont les revenus procurés par une action ?</w:t>
      </w:r>
    </w:p>
    <w:p w:rsidR="00A75405" w:rsidRPr="00BF10EB" w:rsidRDefault="00A75405" w:rsidP="00A9066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dividendes et les intérêts.</w:t>
      </w:r>
    </w:p>
    <w:p w:rsidR="00A75405" w:rsidRPr="00BF10EB" w:rsidRDefault="00A75405" w:rsidP="00A9066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dividendes et les plus-values de cession.</w:t>
      </w:r>
    </w:p>
    <w:p w:rsidR="00A75405" w:rsidRPr="000E4910" w:rsidRDefault="00A75405" w:rsidP="000E4910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coupons et les plus-values de cession</w:t>
      </w:r>
      <w:r w:rsidRPr="000E491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E4910" w:rsidRPr="000E49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F10EB" w:rsidRDefault="00BF10EB" w:rsidP="00BF10EB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BF10EB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10E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Lequel parmi ces titres n’est pas une valeur mobilière ?</w:t>
      </w:r>
    </w:p>
    <w:p w:rsidR="00A75405" w:rsidRPr="00BF10EB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L’action ordinaire.</w:t>
      </w:r>
    </w:p>
    <w:p w:rsidR="00A75405" w:rsidRPr="00BF10EB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certificat d’investissement.</w:t>
      </w:r>
    </w:p>
    <w:p w:rsidR="00A75405" w:rsidRPr="00BF10EB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L’obligation convertible en action.</w:t>
      </w:r>
    </w:p>
    <w:p w:rsidR="00A75405" w:rsidRPr="000E4910" w:rsidRDefault="00A75405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billet de trésorerie.</w:t>
      </w:r>
    </w:p>
    <w:p w:rsidR="000E4910" w:rsidRPr="00BF10EB" w:rsidRDefault="000E4910" w:rsidP="00A9066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Billet de banque .</w:t>
      </w:r>
    </w:p>
    <w:p w:rsidR="00BF10EB" w:rsidRPr="00BF10EB" w:rsidRDefault="00BF10EB" w:rsidP="00BF10EB">
      <w:pPr>
        <w:pStyle w:val="Paragraphedeliste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FE49D7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49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Parmi ces droits, lequel n’est pas procuré par une action ?</w:t>
      </w:r>
    </w:p>
    <w:p w:rsidR="00FE49D7" w:rsidRPr="00BF10EB" w:rsidRDefault="00FE49D7" w:rsidP="00A90668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aux dividendes.</w:t>
      </w:r>
    </w:p>
    <w:p w:rsidR="00FE49D7" w:rsidRPr="00BF10EB" w:rsidRDefault="00FE49D7" w:rsidP="00A90668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préférentiel de souscription</w:t>
      </w:r>
    </w:p>
    <w:p w:rsidR="00FE49D7" w:rsidRPr="00BF10EB" w:rsidRDefault="00FE49D7" w:rsidP="00A90668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de vote.</w:t>
      </w:r>
    </w:p>
    <w:p w:rsidR="00FE49D7" w:rsidRPr="00A90668" w:rsidRDefault="00FE49D7" w:rsidP="00A90668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10EB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au remboursement de l’action</w:t>
      </w:r>
    </w:p>
    <w:p w:rsidR="00A90668" w:rsidRPr="00BF10EB" w:rsidRDefault="00A90668" w:rsidP="00A90668">
      <w:pPr>
        <w:pStyle w:val="Paragraphedeliste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FE49D7" w:rsidRDefault="00A75405" w:rsidP="00A9066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E49D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 Algérie, les revenus des valeurs mobilières :</w:t>
      </w:r>
    </w:p>
    <w:p w:rsidR="00FE49D7" w:rsidRDefault="00FE49D7" w:rsidP="00A90668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Sont exonérés de l'impôt sur le revenu global (IRG) ou de l'impôt sur les bénéfices des sociétés (IBS), les produits des actions, les plus- values de cession des actions et des obligations cotées en bourse.</w:t>
      </w:r>
    </w:p>
    <w:p w:rsidR="000E4910" w:rsidRDefault="000E4910" w:rsidP="000E4910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Sont imposables à l'impôt sur le revenu global (IRG) ou à l'impôt sur les bénéfices des sociétés (IBS), les produits des actions et des obligations.</w:t>
      </w:r>
    </w:p>
    <w:p w:rsidR="000E4910" w:rsidRPr="00A90668" w:rsidRDefault="000E4910" w:rsidP="000E4910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49D7" w:rsidRPr="00A90668" w:rsidRDefault="00FE49D7" w:rsidP="00A90668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Sont imposables à l'impôt sur le revenu global (IRG) ou à l'impôt sur les bénéfices des sociétés (IBS), les produits des actions et des obligations, les plus- values de cession des actions et des obligations cotés en bourse.</w:t>
      </w:r>
    </w:p>
    <w:p w:rsidR="00550B09" w:rsidRPr="00A90668" w:rsidRDefault="00550B09" w:rsidP="00550B09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10EB" w:rsidRPr="00BF10EB" w:rsidRDefault="00BF10EB" w:rsidP="00BF10EB">
      <w:pPr>
        <w:pStyle w:val="Paragraphedeliste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020AFF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Parmi ces missions, laquelle n’est pas du ressort de la Bourse d’Alger ?</w:t>
      </w:r>
    </w:p>
    <w:p w:rsidR="000E4910" w:rsidRPr="000E4910" w:rsidRDefault="000E4910" w:rsidP="000E4910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contrôle et l’inspection des intermédiaires en opérations de bourse.</w:t>
      </w:r>
    </w:p>
    <w:p w:rsidR="000E4910" w:rsidRPr="000E4910" w:rsidRDefault="00FE49D7" w:rsidP="000E4910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L’organisation pratique de l’introduction en bourse des valeurs mobilières.</w:t>
      </w:r>
    </w:p>
    <w:p w:rsidR="000E4910" w:rsidRDefault="00FE49D7" w:rsidP="00A90668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La gestion d’un système de négociation et de cotation.</w:t>
      </w:r>
    </w:p>
    <w:p w:rsidR="000E4910" w:rsidRPr="00A90668" w:rsidRDefault="000E4910" w:rsidP="000E4910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L’organisation matérielle des transactions et des séances de bourse.</w:t>
      </w:r>
    </w:p>
    <w:p w:rsidR="00A75405" w:rsidRPr="00A90668" w:rsidRDefault="00A75405" w:rsidP="000E4910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0668" w:rsidRPr="00A90668" w:rsidRDefault="00A90668" w:rsidP="00A9066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020AFF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 ce qu’un intermédiaire en opérations de bourse (IOB) ?</w:t>
      </w:r>
    </w:p>
    <w:p w:rsidR="000E4910" w:rsidRDefault="000E4910" w:rsidP="00A90668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N’a aucun rôle.</w:t>
      </w:r>
    </w:p>
    <w:p w:rsidR="00FE49D7" w:rsidRPr="00A90668" w:rsidRDefault="00FE49D7" w:rsidP="00A90668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professionnel à qui l’investisseur doit s’adresser pour vendre ou acheter des valeurs mobilières en bourse.</w:t>
      </w:r>
    </w:p>
    <w:p w:rsidR="00A75405" w:rsidRPr="00A90668" w:rsidRDefault="00FE49D7" w:rsidP="00A90668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Un professionnel qui conseille le client, sans que celui-ci ne soit obligé de passer par lui pour investir en bourse.</w:t>
      </w:r>
      <w:r w:rsidRPr="00A906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A90668" w:rsidRPr="00A90668" w:rsidRDefault="00A90668" w:rsidP="00A9066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020AFF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Qui est la Commission d’Organisation et de Surveillance des Opérations de Bourse (COSOB) ?</w:t>
      </w:r>
    </w:p>
    <w:p w:rsidR="00FE49D7" w:rsidRPr="000E4910" w:rsidRDefault="00FE49D7" w:rsidP="00A90668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l’institution où s’exécutent les opérations en bourse.</w:t>
      </w:r>
    </w:p>
    <w:p w:rsidR="000E4910" w:rsidRPr="000E4910" w:rsidRDefault="000E4910" w:rsidP="000E4910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un organe placé sous la responsabilité de la  banque d’Algérie </w:t>
      </w:r>
    </w:p>
    <w:p w:rsidR="000E4910" w:rsidRPr="00A90668" w:rsidRDefault="000E4910" w:rsidP="000E4910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l’entité chargée du recouvrement des commissions sur les transactions boursières.</w:t>
      </w:r>
    </w:p>
    <w:p w:rsidR="000E4910" w:rsidRDefault="000E4910" w:rsidP="000E4910">
      <w:pPr>
        <w:pStyle w:val="Paragraphedelist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l’autorité de régulation du marché financier algérien, chargée d'organiser et de surveiller le marché des valeurs mobilières.</w:t>
      </w:r>
    </w:p>
    <w:p w:rsidR="00020AFF" w:rsidRPr="00A90668" w:rsidRDefault="00020AFF" w:rsidP="00020AFF">
      <w:pPr>
        <w:pStyle w:val="Paragraphedeliste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020AFF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Parmi ces entités, laquelle, n’est pas un i</w:t>
      </w:r>
      <w:r w:rsid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ntervenant du marché financier </w:t>
      </w:r>
    </w:p>
    <w:p w:rsidR="000E4910" w:rsidRDefault="000E4910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fond de régulation des recettes 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La COSOB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caisse de garantie des marchés publics. 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intermédiaires en opérations de bourse (IOB).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La Société de gestion de la bourse des valeurs (SGBV).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dépositaire central des titres (Algérie Clearing).</w:t>
      </w:r>
    </w:p>
    <w:p w:rsidR="00FE49D7" w:rsidRPr="00A90668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promoteur en bourse.</w:t>
      </w:r>
    </w:p>
    <w:p w:rsidR="00FE49D7" w:rsidRPr="00A87D89" w:rsidRDefault="00FE49D7" w:rsidP="00A90668">
      <w:pPr>
        <w:pStyle w:val="Paragraphedeliste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Le teneur de comptes-conservateur de titres (TCC).</w:t>
      </w:r>
    </w:p>
    <w:p w:rsidR="00A90668" w:rsidRPr="00A90668" w:rsidRDefault="00A90668" w:rsidP="00A90668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020AFF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Qu’est ce qu’un OPCVM ?</w:t>
      </w:r>
    </w:p>
    <w:p w:rsidR="0072003A" w:rsidRPr="00A90668" w:rsidRDefault="0072003A" w:rsidP="00A90668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 organisme de placement collectif en valeurs mobilières qui a pour objet d’assister les émetteurs à placer leurs titres auprès du grand public lors d’un appel public à l’épargne.</w:t>
      </w:r>
    </w:p>
    <w:p w:rsidR="0072003A" w:rsidRPr="00A90668" w:rsidRDefault="0072003A" w:rsidP="00A90668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 organisme qui a pour objet la négociation de valeurs mobilières en bourse pour le compte de tiers.</w:t>
      </w:r>
    </w:p>
    <w:p w:rsidR="00020AFF" w:rsidRPr="00020AFF" w:rsidRDefault="0072003A" w:rsidP="00020AFF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 organisme qui émet ses propres actions ou parts sociales. Il a pour objet d’investir les fonds collectés notamment dans des valeurs mobilières et des produits financiers.</w:t>
      </w:r>
    </w:p>
    <w:p w:rsidR="001762DD" w:rsidRPr="00A90668" w:rsidRDefault="001762DD" w:rsidP="00FE1680">
      <w:pPr>
        <w:pStyle w:val="Paragraphedeliste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020AFF" w:rsidRPr="001762DD" w:rsidRDefault="00020AFF" w:rsidP="00020AFF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020AFF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En décidant d’investir à la Bourse d’Alger, j’ai la possibilité : </w:t>
      </w:r>
    </w:p>
    <w:p w:rsidR="001762DD" w:rsidRPr="00A90668" w:rsidRDefault="001762DD" w:rsidP="001762DD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D’investir sur le marché de change international.</w:t>
      </w:r>
    </w:p>
    <w:p w:rsidR="001762DD" w:rsidRDefault="001762DD" w:rsidP="001762DD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69B3" w:rsidRPr="00A90668" w:rsidRDefault="003F69B3" w:rsidP="00A90668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D’investir dans des actions et des obligations dont les émetteurs ont obtenu le visa de la COSOB</w:t>
      </w:r>
    </w:p>
    <w:p w:rsidR="00013933" w:rsidRDefault="003F69B3" w:rsidP="00020AFF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D’investir dans des titres cotés sur d</w:t>
      </w:r>
      <w:r w:rsidR="00020AFF">
        <w:rPr>
          <w:rFonts w:ascii="Times New Roman" w:eastAsia="Times New Roman" w:hAnsi="Times New Roman" w:cs="Times New Roman"/>
          <w:sz w:val="24"/>
          <w:szCs w:val="24"/>
          <w:lang w:eastAsia="fr-FR"/>
        </w:rPr>
        <w:t>’autres bourses internationales</w:t>
      </w:r>
    </w:p>
    <w:p w:rsidR="00BE52B3" w:rsidRDefault="00BE52B3" w:rsidP="00BE52B3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0668" w:rsidRDefault="00A90668" w:rsidP="00A90668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013933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1393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 xml:space="preserve">Le visa apposé par la COSOB sur la notice d’information d’un émetteur </w:t>
      </w:r>
    </w:p>
    <w:p w:rsidR="00013933" w:rsidRPr="00A90668" w:rsidRDefault="00013933" w:rsidP="00A90668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 jugement sur l’opportunité de l’opération. Il représente une recommandation de souscription ou d’achat des titres émis.</w:t>
      </w:r>
    </w:p>
    <w:p w:rsidR="00013933" w:rsidRPr="00A90668" w:rsidRDefault="00013933" w:rsidP="00A90668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garantie d’investissement sans risque.</w:t>
      </w:r>
    </w:p>
    <w:p w:rsidR="00013933" w:rsidRPr="00020AFF" w:rsidRDefault="00013933" w:rsidP="00A90668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Est une indication que les informations fournies dans la notice sont véridiques et suffisantes, pour fonder la décision d’investir.</w:t>
      </w:r>
    </w:p>
    <w:p w:rsidR="00020AFF" w:rsidRPr="00A90668" w:rsidRDefault="00020AFF" w:rsidP="00020AFF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A75405" w:rsidRPr="00020AFF" w:rsidRDefault="00A75405" w:rsidP="00020AF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20AF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Pour pouvoir souscrire à une émission, acheter ou vendre des titres :</w:t>
      </w:r>
    </w:p>
    <w:p w:rsidR="00013933" w:rsidRDefault="00013933" w:rsidP="00E75833">
      <w:pPr>
        <w:pStyle w:val="Paragraphedelist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dois me rendre au siège de la Bourse d’Alger. </w:t>
      </w:r>
    </w:p>
    <w:p w:rsidR="001762DD" w:rsidRPr="001762DD" w:rsidRDefault="001762DD" w:rsidP="001762DD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Je dois me rendre aux guichets d’un IOB agréé.</w:t>
      </w:r>
    </w:p>
    <w:p w:rsidR="00013933" w:rsidRPr="00A90668" w:rsidRDefault="00013933" w:rsidP="00A90668">
      <w:pPr>
        <w:pStyle w:val="Paragraphedeliste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Je dois me rendre au siège de l’entreprise émettrice.</w:t>
      </w:r>
    </w:p>
    <w:p w:rsidR="00A90668" w:rsidRPr="00A90668" w:rsidRDefault="00A90668" w:rsidP="00A90668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5405" w:rsidRPr="00A90668" w:rsidRDefault="00A75405" w:rsidP="00020AFF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Pour établir la relation avec un IOB agréé, je dois ouvrir :</w:t>
      </w:r>
    </w:p>
    <w:p w:rsidR="00013933" w:rsidRPr="00A90668" w:rsidRDefault="00013933" w:rsidP="00A90668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compte livret-épargne.</w:t>
      </w:r>
    </w:p>
    <w:p w:rsidR="00013933" w:rsidRPr="00A90668" w:rsidRDefault="00013933" w:rsidP="00A90668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compte devises.</w:t>
      </w:r>
    </w:p>
    <w:p w:rsidR="00013933" w:rsidRPr="00C6334E" w:rsidRDefault="00013933" w:rsidP="00020AFF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0668">
        <w:rPr>
          <w:rFonts w:ascii="Times New Roman" w:eastAsia="Times New Roman" w:hAnsi="Times New Roman" w:cs="Times New Roman"/>
          <w:sz w:val="24"/>
          <w:szCs w:val="24"/>
          <w:lang w:eastAsia="fr-FR"/>
        </w:rPr>
        <w:t>Un compte titres associé à un compte espèce.</w:t>
      </w:r>
    </w:p>
    <w:p w:rsidR="00C6334E" w:rsidRPr="00020AFF" w:rsidRDefault="00C6334E" w:rsidP="00C6334E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FE1680" w:rsidRPr="00BE52B3" w:rsidRDefault="00FE1680" w:rsidP="00BE52B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E52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Pourquoi on a recours au marché financier</w:t>
      </w:r>
      <w:r w:rsidR="00FA3684" w:rsidRPr="00BE52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</w:t>
      </w:r>
      <w:r w:rsidRPr="00BE52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 w:rsidR="00FA3684" w:rsidRPr="00BE52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</w:t>
      </w:r>
      <w:r w:rsidRPr="00BE52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ans quelle situation se trouve le marché  financier Algérien ?</w:t>
      </w:r>
      <w:r w:rsidR="00FA3684" w:rsidRPr="00BE52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FA3684" w:rsidRPr="00482971" w:rsidRDefault="00FA3684" w:rsidP="00FA3684">
      <w:pPr>
        <w:pStyle w:val="Paragraphedeliste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8297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quelle situation se trouve le marché  financier Algérien ? et pourquoi ?</w:t>
      </w:r>
    </w:p>
    <w:p w:rsidR="00020AFF" w:rsidRPr="00020AFF" w:rsidRDefault="00FA3684" w:rsidP="00FA3684">
      <w:pPr>
        <w:pStyle w:val="Paragraphedeliste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52B3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20AFF" w:rsidRPr="00020AFF" w:rsidSect="00644CB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53F"/>
    <w:multiLevelType w:val="hybridMultilevel"/>
    <w:tmpl w:val="431AB4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51C"/>
    <w:multiLevelType w:val="hybridMultilevel"/>
    <w:tmpl w:val="34F02246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D60"/>
    <w:multiLevelType w:val="hybridMultilevel"/>
    <w:tmpl w:val="040EDA2E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2089"/>
    <w:multiLevelType w:val="hybridMultilevel"/>
    <w:tmpl w:val="BDB2F474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C215D"/>
    <w:multiLevelType w:val="hybridMultilevel"/>
    <w:tmpl w:val="6D5CC7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C60"/>
    <w:multiLevelType w:val="hybridMultilevel"/>
    <w:tmpl w:val="3B9679C8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7097"/>
    <w:multiLevelType w:val="hybridMultilevel"/>
    <w:tmpl w:val="63146BF4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6A8"/>
    <w:multiLevelType w:val="hybridMultilevel"/>
    <w:tmpl w:val="E5963754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5E63"/>
    <w:multiLevelType w:val="hybridMultilevel"/>
    <w:tmpl w:val="7EDC1E50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46004"/>
    <w:multiLevelType w:val="hybridMultilevel"/>
    <w:tmpl w:val="943AF38C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102F1"/>
    <w:multiLevelType w:val="hybridMultilevel"/>
    <w:tmpl w:val="150479C4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077CE"/>
    <w:multiLevelType w:val="hybridMultilevel"/>
    <w:tmpl w:val="F1EEE8C0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281C2B"/>
    <w:multiLevelType w:val="hybridMultilevel"/>
    <w:tmpl w:val="B0C89108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61663C"/>
    <w:multiLevelType w:val="hybridMultilevel"/>
    <w:tmpl w:val="CD9EB436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94D3D"/>
    <w:multiLevelType w:val="hybridMultilevel"/>
    <w:tmpl w:val="C9B2250E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D48F2"/>
    <w:multiLevelType w:val="hybridMultilevel"/>
    <w:tmpl w:val="3DAE9866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809CD"/>
    <w:multiLevelType w:val="hybridMultilevel"/>
    <w:tmpl w:val="7EA062E0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01F5E"/>
    <w:multiLevelType w:val="hybridMultilevel"/>
    <w:tmpl w:val="088A0498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127C93"/>
    <w:multiLevelType w:val="hybridMultilevel"/>
    <w:tmpl w:val="D114AAE2"/>
    <w:lvl w:ilvl="0" w:tplc="7BEC8030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2413F71"/>
    <w:multiLevelType w:val="hybridMultilevel"/>
    <w:tmpl w:val="AB402B2E"/>
    <w:lvl w:ilvl="0" w:tplc="21180EBC">
      <w:start w:val="9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6386BF2"/>
    <w:multiLevelType w:val="hybridMultilevel"/>
    <w:tmpl w:val="CFAC75FE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77630"/>
    <w:multiLevelType w:val="hybridMultilevel"/>
    <w:tmpl w:val="E00EFB72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AE50CA"/>
    <w:multiLevelType w:val="hybridMultilevel"/>
    <w:tmpl w:val="4E129368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71B4B"/>
    <w:multiLevelType w:val="hybridMultilevel"/>
    <w:tmpl w:val="8104FADA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5BD8"/>
    <w:multiLevelType w:val="hybridMultilevel"/>
    <w:tmpl w:val="600873A8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3A3BFA"/>
    <w:multiLevelType w:val="hybridMultilevel"/>
    <w:tmpl w:val="601A372E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5908EF"/>
    <w:multiLevelType w:val="hybridMultilevel"/>
    <w:tmpl w:val="D2A4661C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6A26"/>
    <w:multiLevelType w:val="hybridMultilevel"/>
    <w:tmpl w:val="1ABC01EC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F9394F"/>
    <w:multiLevelType w:val="hybridMultilevel"/>
    <w:tmpl w:val="860C1E2A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809BD"/>
    <w:multiLevelType w:val="hybridMultilevel"/>
    <w:tmpl w:val="7ADA64F6"/>
    <w:lvl w:ilvl="0" w:tplc="7BEC80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AD4B83"/>
    <w:multiLevelType w:val="hybridMultilevel"/>
    <w:tmpl w:val="BBD0B5DE"/>
    <w:lvl w:ilvl="0" w:tplc="BBB809B4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7AB33FC"/>
    <w:multiLevelType w:val="hybridMultilevel"/>
    <w:tmpl w:val="24180660"/>
    <w:lvl w:ilvl="0" w:tplc="7BEC8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46BB7"/>
    <w:multiLevelType w:val="hybridMultilevel"/>
    <w:tmpl w:val="1646C91E"/>
    <w:lvl w:ilvl="0" w:tplc="7BEC80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2"/>
  </w:num>
  <w:num w:numId="5">
    <w:abstractNumId w:val="32"/>
  </w:num>
  <w:num w:numId="6">
    <w:abstractNumId w:val="12"/>
  </w:num>
  <w:num w:numId="7">
    <w:abstractNumId w:val="13"/>
  </w:num>
  <w:num w:numId="8">
    <w:abstractNumId w:val="25"/>
  </w:num>
  <w:num w:numId="9">
    <w:abstractNumId w:val="8"/>
  </w:num>
  <w:num w:numId="10">
    <w:abstractNumId w:val="24"/>
  </w:num>
  <w:num w:numId="11">
    <w:abstractNumId w:val="17"/>
  </w:num>
  <w:num w:numId="12">
    <w:abstractNumId w:val="1"/>
  </w:num>
  <w:num w:numId="13">
    <w:abstractNumId w:val="30"/>
  </w:num>
  <w:num w:numId="14">
    <w:abstractNumId w:val="20"/>
  </w:num>
  <w:num w:numId="15">
    <w:abstractNumId w:val="15"/>
  </w:num>
  <w:num w:numId="16">
    <w:abstractNumId w:val="18"/>
  </w:num>
  <w:num w:numId="17">
    <w:abstractNumId w:val="6"/>
  </w:num>
  <w:num w:numId="18">
    <w:abstractNumId w:val="27"/>
  </w:num>
  <w:num w:numId="19">
    <w:abstractNumId w:val="23"/>
  </w:num>
  <w:num w:numId="20">
    <w:abstractNumId w:val="2"/>
  </w:num>
  <w:num w:numId="21">
    <w:abstractNumId w:val="0"/>
  </w:num>
  <w:num w:numId="22">
    <w:abstractNumId w:val="9"/>
  </w:num>
  <w:num w:numId="23">
    <w:abstractNumId w:val="7"/>
  </w:num>
  <w:num w:numId="24">
    <w:abstractNumId w:val="29"/>
  </w:num>
  <w:num w:numId="25">
    <w:abstractNumId w:val="16"/>
  </w:num>
  <w:num w:numId="26">
    <w:abstractNumId w:val="21"/>
  </w:num>
  <w:num w:numId="27">
    <w:abstractNumId w:val="11"/>
  </w:num>
  <w:num w:numId="28">
    <w:abstractNumId w:val="3"/>
  </w:num>
  <w:num w:numId="29">
    <w:abstractNumId w:val="26"/>
  </w:num>
  <w:num w:numId="30">
    <w:abstractNumId w:val="31"/>
  </w:num>
  <w:num w:numId="31">
    <w:abstractNumId w:val="28"/>
  </w:num>
  <w:num w:numId="32">
    <w:abstractNumId w:val="14"/>
  </w:num>
  <w:num w:numId="33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75405"/>
    <w:rsid w:val="00013933"/>
    <w:rsid w:val="00020AFF"/>
    <w:rsid w:val="00054538"/>
    <w:rsid w:val="000E4910"/>
    <w:rsid w:val="000F0106"/>
    <w:rsid w:val="000F0B07"/>
    <w:rsid w:val="00167139"/>
    <w:rsid w:val="001762DD"/>
    <w:rsid w:val="001D2FEA"/>
    <w:rsid w:val="00204510"/>
    <w:rsid w:val="003F69B3"/>
    <w:rsid w:val="00550B09"/>
    <w:rsid w:val="00575B3E"/>
    <w:rsid w:val="00601145"/>
    <w:rsid w:val="00644CB7"/>
    <w:rsid w:val="007074AF"/>
    <w:rsid w:val="0072003A"/>
    <w:rsid w:val="00796BF6"/>
    <w:rsid w:val="00841FD1"/>
    <w:rsid w:val="00A23A24"/>
    <w:rsid w:val="00A75405"/>
    <w:rsid w:val="00A87D89"/>
    <w:rsid w:val="00A90668"/>
    <w:rsid w:val="00AA2590"/>
    <w:rsid w:val="00AA65A7"/>
    <w:rsid w:val="00B45A5A"/>
    <w:rsid w:val="00BE52B3"/>
    <w:rsid w:val="00BF10EB"/>
    <w:rsid w:val="00BF47C6"/>
    <w:rsid w:val="00C13EE0"/>
    <w:rsid w:val="00C6334E"/>
    <w:rsid w:val="00D91CEC"/>
    <w:rsid w:val="00E75833"/>
    <w:rsid w:val="00FA3684"/>
    <w:rsid w:val="00FE1680"/>
    <w:rsid w:val="00FE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5F61-35BA-48A9-8553-9FDBCB0C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user</cp:lastModifiedBy>
  <cp:revision>7</cp:revision>
  <cp:lastPrinted>2018-05-22T01:35:00Z</cp:lastPrinted>
  <dcterms:created xsi:type="dcterms:W3CDTF">2020-09-27T21:31:00Z</dcterms:created>
  <dcterms:modified xsi:type="dcterms:W3CDTF">2020-09-27T21:48:00Z</dcterms:modified>
</cp:coreProperties>
</file>