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2D" w:rsidRDefault="00124C2D" w:rsidP="00124C2D">
      <w:pPr>
        <w:pStyle w:val="Texteducorps30"/>
        <w:shd w:val="clear" w:color="auto" w:fill="auto"/>
        <w:spacing w:after="160" w:line="230" w:lineRule="auto"/>
      </w:pPr>
      <w:r>
        <w:rPr>
          <w:color w:val="000000"/>
          <w:sz w:val="24"/>
          <w:szCs w:val="24"/>
          <w:lang w:val="de-DE" w:eastAsia="de-DE" w:bidi="de-DE"/>
        </w:rPr>
        <w:t>Sprachliche Strukturen</w:t>
      </w:r>
    </w:p>
    <w:p w:rsidR="00124C2D" w:rsidRDefault="00124C2D" w:rsidP="00124C2D">
      <w:pPr>
        <w:pStyle w:val="Texteducorps0"/>
        <w:shd w:val="clear" w:color="auto" w:fill="auto"/>
        <w:spacing w:after="280" w:line="240" w:lineRule="auto"/>
        <w:ind w:firstLine="0"/>
        <w:jc w:val="center"/>
      </w:pPr>
      <w:r>
        <w:rPr>
          <w:b/>
          <w:bCs/>
          <w:color w:val="000000"/>
          <w:lang w:val="de-DE" w:eastAsia="de-DE" w:bidi="de-DE"/>
        </w:rPr>
        <w:t>Pronomen für die Substantivvertretung</w:t>
      </w:r>
    </w:p>
    <w:p w:rsidR="00124C2D" w:rsidRDefault="00124C2D" w:rsidP="00124C2D">
      <w:pPr>
        <w:pStyle w:val="Texteducorps0"/>
        <w:shd w:val="clear" w:color="auto" w:fill="auto"/>
        <w:spacing w:after="100"/>
        <w:ind w:firstLine="0"/>
        <w:jc w:val="right"/>
      </w:pPr>
      <w:r>
        <w:rPr>
          <w:b/>
          <w:bCs/>
          <w:color w:val="000000"/>
          <w:lang w:val="de-DE" w:eastAsia="de-DE" w:bidi="de-DE"/>
        </w:rPr>
        <w:t>Muster</w:t>
      </w:r>
    </w:p>
    <w:p w:rsidR="00124C2D" w:rsidRDefault="00124C2D" w:rsidP="00124C2D">
      <w:pPr>
        <w:pStyle w:val="Texteducorps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300" w:lineRule="auto"/>
        <w:ind w:left="140" w:firstLine="0"/>
        <w:jc w:val="both"/>
      </w:pPr>
      <w:r>
        <w:rPr>
          <w:color w:val="000000"/>
          <w:lang w:val="de-DE" w:eastAsia="de-DE" w:bidi="de-DE"/>
        </w:rPr>
        <w:t>Grammatische Kategorien der Verben und die der Adjektive sind unterschiedlich.</w:t>
      </w:r>
    </w:p>
    <w:p w:rsidR="00124C2D" w:rsidRDefault="00124C2D" w:rsidP="00124C2D">
      <w:pPr>
        <w:pStyle w:val="Texteducorps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300" w:lineRule="auto"/>
        <w:ind w:left="140" w:firstLine="0"/>
        <w:jc w:val="both"/>
      </w:pPr>
      <w:r w:rsidRPr="00124C2D">
        <w:rPr>
          <w:color w:val="000000"/>
          <w:rtl/>
          <w:lang w:val="de-DE" w:eastAsia="de-DE"/>
        </w:rPr>
        <w:t>تختلف فئات الأفعال والصفات النحوية</w:t>
      </w:r>
      <w:r>
        <w:rPr>
          <w:color w:val="000000"/>
          <w:lang w:val="de-DE" w:eastAsia="de-DE" w:bidi="de-DE"/>
        </w:rPr>
        <w:t>.</w:t>
      </w:r>
    </w:p>
    <w:p w:rsidR="00124C2D" w:rsidRDefault="00124C2D" w:rsidP="00124C2D">
      <w:pPr>
        <w:pStyle w:val="Texteducorps0"/>
        <w:shd w:val="clear" w:color="auto" w:fill="auto"/>
        <w:spacing w:after="280"/>
        <w:ind w:firstLine="420"/>
        <w:jc w:val="both"/>
      </w:pPr>
      <w:r>
        <w:rPr>
          <w:color w:val="000000"/>
          <w:lang w:val="de-DE" w:eastAsia="de-DE" w:bidi="de-DE"/>
        </w:rPr>
        <w:t>Pronomen (der, die, das, die; dieser, diese, dieses, diese; solcher, solche, solches, solche; jener, jenes, jene, jene; derjenige, diejenige, dasjenige, diejenigen; derselbe, dieselbe, dasselbe, dieselben; einer, eine, eines) werden in wissenschaftlichen Texten substantivisch ge</w:t>
      </w:r>
      <w:r>
        <w:rPr>
          <w:color w:val="000000"/>
          <w:lang w:val="de-DE" w:eastAsia="de-DE" w:bidi="de-DE"/>
        </w:rPr>
        <w:softHyphen/>
        <w:t>braucht und weisen auf das eben erwähnte Substantiv hin. Das Pro</w:t>
      </w:r>
      <w:r>
        <w:rPr>
          <w:color w:val="000000"/>
          <w:lang w:val="de-DE" w:eastAsia="de-DE" w:bidi="de-DE"/>
        </w:rPr>
        <w:softHyphen/>
        <w:t>nomen hat dabei oft ein vorgestelltes oder ein nichtkongrierendes nachgestelltes Attribut bei sich.</w:t>
      </w:r>
    </w:p>
    <w:p w:rsidR="00124C2D" w:rsidRDefault="00124C2D" w:rsidP="00124C2D">
      <w:pPr>
        <w:pStyle w:val="Texteducorps0"/>
        <w:shd w:val="clear" w:color="auto" w:fill="auto"/>
        <w:spacing w:after="160" w:line="271" w:lineRule="auto"/>
        <w:ind w:firstLine="420"/>
        <w:jc w:val="both"/>
      </w:pPr>
      <w:r>
        <w:rPr>
          <w:b/>
          <w:bCs/>
          <w:color w:val="000000"/>
          <w:lang w:val="de-DE" w:eastAsia="de-DE" w:bidi="de-DE"/>
        </w:rPr>
        <w:t xml:space="preserve">Übung 5. </w:t>
      </w:r>
      <w:r>
        <w:rPr>
          <w:color w:val="000000"/>
          <w:lang w:val="de-DE" w:eastAsia="de-DE" w:bidi="de-DE"/>
        </w:rPr>
        <w:t>Transformieren Sie in den folgenden Satzfragmenten das Pronomen in ein Substantiv.</w:t>
      </w:r>
    </w:p>
    <w:p w:rsidR="00124C2D" w:rsidRDefault="00124C2D" w:rsidP="00124C2D">
      <w:pPr>
        <w:pStyle w:val="Texteducorps0"/>
        <w:numPr>
          <w:ilvl w:val="0"/>
          <w:numId w:val="1"/>
        </w:numPr>
        <w:shd w:val="clear" w:color="auto" w:fill="auto"/>
        <w:tabs>
          <w:tab w:val="left" w:pos="697"/>
        </w:tabs>
        <w:ind w:firstLine="420"/>
        <w:jc w:val="both"/>
      </w:pPr>
      <w:r>
        <w:rPr>
          <w:color w:val="000000"/>
          <w:lang w:val="de-DE" w:eastAsia="de-DE" w:bidi="de-DE"/>
        </w:rPr>
        <w:t>die Eigenschaften des Substantivs und solche des Verbs</w:t>
      </w:r>
    </w:p>
    <w:p w:rsidR="00124C2D" w:rsidRDefault="00124C2D" w:rsidP="00124C2D">
      <w:pPr>
        <w:pStyle w:val="Texteducorps0"/>
        <w:numPr>
          <w:ilvl w:val="0"/>
          <w:numId w:val="1"/>
        </w:numPr>
        <w:shd w:val="clear" w:color="auto" w:fill="auto"/>
        <w:tabs>
          <w:tab w:val="left" w:pos="717"/>
        </w:tabs>
        <w:spacing w:after="180"/>
        <w:ind w:firstLine="420"/>
        <w:jc w:val="both"/>
      </w:pPr>
      <w:r>
        <w:rPr>
          <w:color w:val="000000"/>
          <w:lang w:val="de-DE" w:eastAsia="de-DE" w:bidi="de-DE"/>
        </w:rPr>
        <w:t>das syntaktische Verhältins wie das der Semantik</w:t>
      </w:r>
    </w:p>
    <w:p w:rsidR="00124C2D" w:rsidRDefault="00124C2D" w:rsidP="00124C2D">
      <w:pPr>
        <w:pStyle w:val="Texteducorps0"/>
        <w:numPr>
          <w:ilvl w:val="0"/>
          <w:numId w:val="1"/>
        </w:numPr>
        <w:shd w:val="clear" w:color="auto" w:fill="auto"/>
        <w:tabs>
          <w:tab w:val="left" w:pos="719"/>
        </w:tabs>
        <w:ind w:firstLine="420"/>
        <w:jc w:val="both"/>
      </w:pPr>
      <w:r>
        <w:rPr>
          <w:color w:val="000000"/>
          <w:lang w:val="de-DE" w:eastAsia="de-DE" w:bidi="de-DE"/>
        </w:rPr>
        <w:t>auf jedem Gebiet, selbst auf dem der Mathematik</w:t>
      </w:r>
    </w:p>
    <w:p w:rsidR="00124C2D" w:rsidRDefault="00124C2D" w:rsidP="00124C2D">
      <w:pPr>
        <w:pStyle w:val="Texteducorps0"/>
        <w:numPr>
          <w:ilvl w:val="0"/>
          <w:numId w:val="1"/>
        </w:numPr>
        <w:shd w:val="clear" w:color="auto" w:fill="auto"/>
        <w:tabs>
          <w:tab w:val="left" w:pos="692"/>
        </w:tabs>
        <w:ind w:firstLine="420"/>
        <w:jc w:val="both"/>
      </w:pPr>
      <w:r>
        <w:rPr>
          <w:color w:val="000000"/>
          <w:lang w:val="de-DE" w:eastAsia="de-DE" w:bidi="de-DE"/>
        </w:rPr>
        <w:t>eine allgemeine Interpretation des Textes, die semantische Analyse desselben</w:t>
      </w:r>
    </w:p>
    <w:p w:rsidR="00124C2D" w:rsidRDefault="00124C2D" w:rsidP="00124C2D">
      <w:pPr>
        <w:pStyle w:val="Texteducorps0"/>
        <w:numPr>
          <w:ilvl w:val="0"/>
          <w:numId w:val="1"/>
        </w:numPr>
        <w:shd w:val="clear" w:color="auto" w:fill="auto"/>
        <w:tabs>
          <w:tab w:val="left" w:pos="719"/>
        </w:tabs>
        <w:ind w:firstLine="420"/>
        <w:jc w:val="both"/>
      </w:pPr>
      <w:r>
        <w:rPr>
          <w:color w:val="000000"/>
          <w:lang w:val="de-DE" w:eastAsia="de-DE" w:bidi="de-DE"/>
        </w:rPr>
        <w:t>Veränderung der Satztypen und deren Zahl</w:t>
      </w:r>
    </w:p>
    <w:p w:rsidR="00124C2D" w:rsidRDefault="00124C2D" w:rsidP="00124C2D">
      <w:pPr>
        <w:pStyle w:val="Texteducorps0"/>
        <w:numPr>
          <w:ilvl w:val="0"/>
          <w:numId w:val="1"/>
        </w:numPr>
        <w:shd w:val="clear" w:color="auto" w:fill="auto"/>
        <w:tabs>
          <w:tab w:val="left" w:pos="719"/>
        </w:tabs>
        <w:spacing w:after="240"/>
        <w:ind w:firstLine="420"/>
        <w:jc w:val="both"/>
      </w:pPr>
      <w:r>
        <w:rPr>
          <w:color w:val="000000"/>
          <w:lang w:val="de-DE" w:eastAsia="de-DE" w:bidi="de-DE"/>
        </w:rPr>
        <w:t>die Kategorie des Verbs sowie eine des Adverbs</w:t>
      </w:r>
    </w:p>
    <w:p w:rsidR="00124C2D" w:rsidRDefault="00124C2D" w:rsidP="00124C2D">
      <w:pPr>
        <w:pStyle w:val="Texteducorps0"/>
        <w:shd w:val="clear" w:color="auto" w:fill="auto"/>
        <w:spacing w:after="240"/>
        <w:ind w:firstLine="420"/>
        <w:jc w:val="both"/>
      </w:pPr>
      <w:r>
        <w:rPr>
          <w:b/>
          <w:bCs/>
          <w:color w:val="000000"/>
          <w:lang w:val="de-DE" w:eastAsia="de-DE" w:bidi="de-DE"/>
        </w:rPr>
        <w:t xml:space="preserve">Übung 6. </w:t>
      </w:r>
      <w:r>
        <w:rPr>
          <w:color w:val="000000"/>
          <w:lang w:val="de-DE" w:eastAsia="de-DE" w:bidi="de-DE"/>
        </w:rPr>
        <w:t>Überse</w:t>
      </w:r>
      <w:r w:rsidR="00D76D63">
        <w:rPr>
          <w:color w:val="000000"/>
          <w:lang w:val="de-DE" w:eastAsia="de-DE" w:bidi="de-DE"/>
        </w:rPr>
        <w:t>tzen Sie folgende Sätze ins Arab</w:t>
      </w:r>
      <w:r>
        <w:rPr>
          <w:color w:val="000000"/>
          <w:lang w:val="de-DE" w:eastAsia="de-DE" w:bidi="de-DE"/>
        </w:rPr>
        <w:t>ische.</w:t>
      </w:r>
    </w:p>
    <w:p w:rsidR="00124C2D" w:rsidRDefault="00124C2D" w:rsidP="00124C2D">
      <w:pPr>
        <w:pStyle w:val="Texteducorps0"/>
        <w:numPr>
          <w:ilvl w:val="0"/>
          <w:numId w:val="2"/>
        </w:numPr>
        <w:shd w:val="clear" w:color="auto" w:fill="auto"/>
        <w:tabs>
          <w:tab w:val="left" w:pos="692"/>
        </w:tabs>
        <w:ind w:firstLine="420"/>
        <w:jc w:val="both"/>
      </w:pPr>
      <w:r>
        <w:rPr>
          <w:color w:val="000000"/>
          <w:lang w:val="de-DE" w:eastAsia="de-DE" w:bidi="de-DE"/>
        </w:rPr>
        <w:t>Die Form des Konjunktivs dient öfter zum Ausdruck der indi</w:t>
      </w:r>
      <w:r>
        <w:rPr>
          <w:color w:val="000000"/>
          <w:lang w:val="de-DE" w:eastAsia="de-DE" w:bidi="de-DE"/>
        </w:rPr>
        <w:softHyphen/>
        <w:t>rekten Rede als dieselbe des Indikativs.</w:t>
      </w:r>
    </w:p>
    <w:p w:rsidR="00124C2D" w:rsidRDefault="00124C2D" w:rsidP="00124C2D">
      <w:pPr>
        <w:pStyle w:val="Texteducorps0"/>
        <w:numPr>
          <w:ilvl w:val="0"/>
          <w:numId w:val="2"/>
        </w:numPr>
        <w:shd w:val="clear" w:color="auto" w:fill="auto"/>
        <w:tabs>
          <w:tab w:val="left" w:pos="692"/>
        </w:tabs>
        <w:ind w:firstLine="420"/>
        <w:jc w:val="both"/>
      </w:pPr>
      <w:r>
        <w:rPr>
          <w:color w:val="000000"/>
          <w:lang w:val="de-DE" w:eastAsia="de-DE" w:bidi="de-DE"/>
        </w:rPr>
        <w:t>Beim Übersetzen von Realien gebraucht man bekannte Ver</w:t>
      </w:r>
      <w:r>
        <w:rPr>
          <w:color w:val="000000"/>
          <w:lang w:val="de-DE" w:eastAsia="de-DE" w:bidi="de-DE"/>
        </w:rPr>
        <w:softHyphen/>
        <w:t>fahren und jene, die weniger bekannt sind.</w:t>
      </w:r>
    </w:p>
    <w:p w:rsidR="00124C2D" w:rsidRDefault="00124C2D" w:rsidP="00124C2D">
      <w:pPr>
        <w:pStyle w:val="Texteducorps0"/>
        <w:numPr>
          <w:ilvl w:val="0"/>
          <w:numId w:val="2"/>
        </w:numPr>
        <w:shd w:val="clear" w:color="auto" w:fill="auto"/>
        <w:tabs>
          <w:tab w:val="left" w:pos="687"/>
        </w:tabs>
        <w:ind w:firstLine="420"/>
        <w:jc w:val="both"/>
      </w:pPr>
      <w:r>
        <w:rPr>
          <w:color w:val="000000"/>
          <w:lang w:val="de-DE" w:eastAsia="de-DE" w:bidi="de-DE"/>
        </w:rPr>
        <w:t>Nur im Kontext kann die Bedeutung des Wortes und die der Redewendungen voll aktualisiert werden.</w:t>
      </w:r>
    </w:p>
    <w:p w:rsidR="00124C2D" w:rsidRDefault="00124C2D" w:rsidP="00124C2D">
      <w:pPr>
        <w:pStyle w:val="Texteducorps0"/>
        <w:numPr>
          <w:ilvl w:val="0"/>
          <w:numId w:val="2"/>
        </w:numPr>
        <w:shd w:val="clear" w:color="auto" w:fill="auto"/>
        <w:tabs>
          <w:tab w:val="left" w:pos="697"/>
        </w:tabs>
        <w:spacing w:after="540"/>
        <w:ind w:firstLine="420"/>
        <w:jc w:val="both"/>
      </w:pPr>
      <w:r>
        <w:rPr>
          <w:color w:val="000000"/>
          <w:lang w:val="de-DE" w:eastAsia="de-DE" w:bidi="de-DE"/>
        </w:rPr>
        <w:t>Seine Rede vor dem Bundestag war ebenso feurig wie dieje</w:t>
      </w:r>
      <w:r>
        <w:rPr>
          <w:color w:val="000000"/>
          <w:lang w:val="de-DE" w:eastAsia="de-DE" w:bidi="de-DE"/>
        </w:rPr>
        <w:softHyphen/>
        <w:t>nige vor dem Landtag.</w:t>
      </w:r>
    </w:p>
    <w:p w:rsidR="00886D11" w:rsidRDefault="00886D11"/>
    <w:sectPr w:rsidR="0088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163"/>
    <w:multiLevelType w:val="multilevel"/>
    <w:tmpl w:val="728AB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651C52"/>
    <w:multiLevelType w:val="multilevel"/>
    <w:tmpl w:val="790C1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124C2D"/>
    <w:rsid w:val="00124C2D"/>
    <w:rsid w:val="00886D11"/>
    <w:rsid w:val="00D7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3">
    <w:name w:val="Texte du corps (3)_"/>
    <w:basedOn w:val="Policepardfaut"/>
    <w:link w:val="Texteducorps30"/>
    <w:rsid w:val="00124C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xteducorps">
    <w:name w:val="Texte du corps_"/>
    <w:basedOn w:val="Policepardfaut"/>
    <w:link w:val="Texteducorps0"/>
    <w:rsid w:val="00124C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xteducorps30">
    <w:name w:val="Texte du corps (3)"/>
    <w:basedOn w:val="Normal"/>
    <w:link w:val="Texteducorps3"/>
    <w:rsid w:val="00124C2D"/>
    <w:pPr>
      <w:widowControl w:val="0"/>
      <w:shd w:val="clear" w:color="auto" w:fill="FFFFFF"/>
      <w:spacing w:after="24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xteducorps0">
    <w:name w:val="Texte du corps"/>
    <w:basedOn w:val="Normal"/>
    <w:link w:val="Texteducorps"/>
    <w:rsid w:val="00124C2D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</dc:creator>
  <cp:keywords/>
  <dc:description/>
  <cp:lastModifiedBy>KOUKOU</cp:lastModifiedBy>
  <cp:revision>3</cp:revision>
  <dcterms:created xsi:type="dcterms:W3CDTF">2024-03-04T13:32:00Z</dcterms:created>
  <dcterms:modified xsi:type="dcterms:W3CDTF">2024-03-04T13:34:00Z</dcterms:modified>
</cp:coreProperties>
</file>