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FD" w:rsidRPr="00501E4A" w:rsidRDefault="002E34FD" w:rsidP="002E34FD">
      <w:pPr>
        <w:spacing w:before="240" w:after="240" w:line="240" w:lineRule="auto"/>
        <w:ind w:firstLine="709"/>
        <w:jc w:val="both"/>
        <w:rPr>
          <w:rFonts w:asciiTheme="majorBidi" w:hAnsiTheme="majorBidi" w:cstheme="majorBidi"/>
          <w:b/>
          <w:bCs/>
          <w:smallCaps/>
          <w:sz w:val="24"/>
          <w:szCs w:val="24"/>
        </w:rPr>
      </w:pPr>
      <w:r w:rsidRPr="00501E4A">
        <w:rPr>
          <w:rFonts w:asciiTheme="majorBidi" w:hAnsiTheme="majorBidi" w:cstheme="majorBidi"/>
          <w:b/>
          <w:bCs/>
          <w:smallCaps/>
          <w:sz w:val="24"/>
          <w:szCs w:val="24"/>
        </w:rPr>
        <w:t xml:space="preserve">Introduction </w:t>
      </w:r>
    </w:p>
    <w:p w:rsidR="002E34FD" w:rsidRDefault="002E34FD" w:rsidP="002E34FD">
      <w:pPr>
        <w:spacing w:after="0" w:line="360" w:lineRule="auto"/>
        <w:ind w:firstLine="709"/>
        <w:jc w:val="both"/>
        <w:rPr>
          <w:rFonts w:asciiTheme="majorBidi" w:hAnsiTheme="majorBidi" w:cstheme="majorBidi"/>
          <w:sz w:val="24"/>
          <w:szCs w:val="24"/>
        </w:rPr>
      </w:pPr>
      <w:r w:rsidRPr="008669C4">
        <w:rPr>
          <w:rFonts w:asciiTheme="majorBidi" w:hAnsiTheme="majorBidi" w:cstheme="majorBidi"/>
          <w:sz w:val="24"/>
          <w:szCs w:val="24"/>
        </w:rPr>
        <w:t xml:space="preserve">Le droit fiscal international </w:t>
      </w:r>
      <w:r w:rsidRPr="00501E4A">
        <w:rPr>
          <w:rFonts w:asciiTheme="majorBidi" w:hAnsiTheme="majorBidi" w:cstheme="majorBidi"/>
          <w:smallCaps/>
          <w:sz w:val="24"/>
          <w:szCs w:val="24"/>
        </w:rPr>
        <w:t>Dfi</w:t>
      </w:r>
      <w:r>
        <w:rPr>
          <w:rFonts w:asciiTheme="majorBidi" w:hAnsiTheme="majorBidi" w:cstheme="majorBidi"/>
          <w:sz w:val="24"/>
          <w:szCs w:val="24"/>
        </w:rPr>
        <w:t xml:space="preserve"> </w:t>
      </w:r>
      <w:r w:rsidRPr="008669C4">
        <w:rPr>
          <w:rFonts w:asciiTheme="majorBidi" w:hAnsiTheme="majorBidi" w:cstheme="majorBidi"/>
          <w:sz w:val="24"/>
          <w:szCs w:val="24"/>
        </w:rPr>
        <w:t>est une branche du droit</w:t>
      </w:r>
      <w:r w:rsidRPr="007C2C92">
        <w:rPr>
          <w:rFonts w:asciiTheme="majorBidi" w:hAnsiTheme="majorBidi" w:cstheme="majorBidi"/>
          <w:sz w:val="24"/>
          <w:szCs w:val="24"/>
        </w:rPr>
        <w:t xml:space="preserve"> public (ensemble de règles juridiques qui régissent les relations dont l’une des partie est une personne publique) et qui se situe entre deux disciplines : droit fiscal et droit international. </w:t>
      </w:r>
    </w:p>
    <w:p w:rsidR="002E34FD" w:rsidRDefault="002E34FD" w:rsidP="002E34FD">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Le droit fiscal est celui qui régit l’ensemble des impôts et des taxes</w:t>
      </w:r>
      <w:r>
        <w:rPr>
          <w:rStyle w:val="Appelnotedebasdep"/>
          <w:rFonts w:asciiTheme="majorBidi" w:hAnsiTheme="majorBidi" w:cstheme="majorBidi"/>
          <w:sz w:val="24"/>
          <w:szCs w:val="24"/>
        </w:rPr>
        <w:footnoteReference w:id="2"/>
      </w:r>
      <w:r>
        <w:rPr>
          <w:rFonts w:asciiTheme="majorBidi" w:hAnsiTheme="majorBidi" w:cstheme="majorBidi"/>
          <w:sz w:val="24"/>
          <w:szCs w:val="24"/>
        </w:rPr>
        <w:t xml:space="preserve"> alors que le droit international a vocation à définir et régir les relations entre l’Etat et les étrangers, que ce soient une administration fiscale étrangère, une personne physique, une personne morale (filiale) ou un établissement stable</w:t>
      </w:r>
      <w:r>
        <w:rPr>
          <w:rStyle w:val="Appelnotedebasdep"/>
          <w:rFonts w:asciiTheme="majorBidi" w:hAnsiTheme="majorBidi" w:cstheme="majorBidi"/>
          <w:sz w:val="24"/>
          <w:szCs w:val="24"/>
        </w:rPr>
        <w:footnoteReference w:id="3"/>
      </w:r>
      <w:r>
        <w:rPr>
          <w:rFonts w:asciiTheme="majorBidi" w:hAnsiTheme="majorBidi" w:cstheme="majorBidi"/>
          <w:sz w:val="24"/>
          <w:szCs w:val="24"/>
        </w:rPr>
        <w:t xml:space="preserve"> (comme un magasin de vente). </w:t>
      </w:r>
    </w:p>
    <w:p w:rsidR="002E34FD" w:rsidRPr="00EC49B3" w:rsidRDefault="002E34FD" w:rsidP="002E34FD">
      <w:pPr>
        <w:spacing w:after="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Ainsi, en </w:t>
      </w:r>
      <w:r w:rsidRPr="00EC49B3">
        <w:rPr>
          <w:rFonts w:asciiTheme="majorBidi" w:hAnsiTheme="majorBidi" w:cstheme="majorBidi"/>
          <w:sz w:val="24"/>
          <w:szCs w:val="24"/>
        </w:rPr>
        <w:t>combinant ces deux disciplines on pourrait dire que le droit fiscal international fixe les</w:t>
      </w:r>
      <w:r>
        <w:rPr>
          <w:rFonts w:asciiTheme="majorBidi" w:hAnsiTheme="majorBidi" w:cstheme="majorBidi"/>
          <w:sz w:val="24"/>
          <w:szCs w:val="24"/>
        </w:rPr>
        <w:t xml:space="preserve"> conditions </w:t>
      </w:r>
      <w:r w:rsidRPr="00EC49B3">
        <w:rPr>
          <w:rFonts w:asciiTheme="majorBidi" w:hAnsiTheme="majorBidi" w:cstheme="majorBidi"/>
          <w:sz w:val="24"/>
          <w:szCs w:val="24"/>
        </w:rPr>
        <w:t>d’imposition des</w:t>
      </w:r>
      <w:r>
        <w:rPr>
          <w:rFonts w:asciiTheme="majorBidi" w:hAnsiTheme="majorBidi" w:cstheme="majorBidi"/>
          <w:sz w:val="24"/>
          <w:szCs w:val="24"/>
        </w:rPr>
        <w:t xml:space="preserve"> </w:t>
      </w:r>
      <w:r w:rsidRPr="00EC49B3">
        <w:rPr>
          <w:rFonts w:asciiTheme="majorBidi" w:hAnsiTheme="majorBidi" w:cstheme="majorBidi"/>
          <w:sz w:val="24"/>
          <w:szCs w:val="24"/>
        </w:rPr>
        <w:t xml:space="preserve">revenus détenus </w:t>
      </w:r>
      <w:r>
        <w:rPr>
          <w:rFonts w:asciiTheme="majorBidi" w:hAnsiTheme="majorBidi" w:cstheme="majorBidi"/>
          <w:sz w:val="24"/>
          <w:szCs w:val="24"/>
        </w:rPr>
        <w:t>sur le territoire de l’</w:t>
      </w:r>
      <w:r w:rsidRPr="00EC49B3">
        <w:rPr>
          <w:rFonts w:asciiTheme="majorBidi" w:hAnsiTheme="majorBidi" w:cstheme="majorBidi"/>
          <w:sz w:val="24"/>
          <w:szCs w:val="24"/>
        </w:rPr>
        <w:t>Etat</w:t>
      </w:r>
      <w:r>
        <w:rPr>
          <w:rFonts w:asciiTheme="majorBidi" w:hAnsiTheme="majorBidi" w:cstheme="majorBidi"/>
          <w:sz w:val="24"/>
          <w:szCs w:val="24"/>
        </w:rPr>
        <w:t xml:space="preserve"> A</w:t>
      </w:r>
      <w:r w:rsidRPr="00EC49B3">
        <w:rPr>
          <w:rFonts w:asciiTheme="majorBidi" w:hAnsiTheme="majorBidi" w:cstheme="majorBidi"/>
          <w:sz w:val="24"/>
          <w:szCs w:val="24"/>
        </w:rPr>
        <w:t xml:space="preserve"> </w:t>
      </w:r>
      <w:r>
        <w:rPr>
          <w:rFonts w:asciiTheme="majorBidi" w:hAnsiTheme="majorBidi" w:cstheme="majorBidi"/>
          <w:sz w:val="24"/>
          <w:szCs w:val="24"/>
        </w:rPr>
        <w:t>par un résident de l’</w:t>
      </w:r>
      <w:r w:rsidRPr="00EC49B3">
        <w:rPr>
          <w:rFonts w:asciiTheme="majorBidi" w:hAnsiTheme="majorBidi" w:cstheme="majorBidi"/>
          <w:sz w:val="24"/>
          <w:szCs w:val="24"/>
        </w:rPr>
        <w:t>Etat</w:t>
      </w:r>
      <w:r>
        <w:rPr>
          <w:rFonts w:asciiTheme="majorBidi" w:hAnsiTheme="majorBidi" w:cstheme="majorBidi"/>
          <w:sz w:val="24"/>
          <w:szCs w:val="24"/>
        </w:rPr>
        <w:t xml:space="preserve"> B</w:t>
      </w:r>
      <w:r>
        <w:rPr>
          <w:rStyle w:val="Appelnotedebasdep"/>
          <w:rFonts w:asciiTheme="majorBidi" w:hAnsiTheme="majorBidi" w:cstheme="majorBidi"/>
          <w:sz w:val="24"/>
          <w:szCs w:val="24"/>
        </w:rPr>
        <w:footnoteReference w:id="4"/>
      </w:r>
      <w:r w:rsidRPr="00EC49B3">
        <w:rPr>
          <w:rFonts w:asciiTheme="majorBidi" w:hAnsiTheme="majorBidi" w:cstheme="majorBidi"/>
          <w:sz w:val="24"/>
          <w:szCs w:val="24"/>
        </w:rPr>
        <w:t>.</w:t>
      </w:r>
      <w:r>
        <w:rPr>
          <w:rFonts w:asciiTheme="majorBidi" w:hAnsiTheme="majorBidi" w:cstheme="majorBidi"/>
          <w:sz w:val="24"/>
          <w:szCs w:val="24"/>
        </w:rPr>
        <w:t xml:space="preserve"> Exemple, achat d’un bien immobilier en Espagne par un résident algérien. </w:t>
      </w:r>
      <w:r w:rsidRPr="00EC49B3">
        <w:rPr>
          <w:rFonts w:asciiTheme="majorBidi" w:hAnsiTheme="majorBidi" w:cstheme="majorBidi"/>
          <w:sz w:val="24"/>
          <w:szCs w:val="24"/>
        </w:rPr>
        <w:t xml:space="preserve">Autrement dit, il n’est question du </w:t>
      </w:r>
      <w:r w:rsidRPr="00496A53">
        <w:rPr>
          <w:rFonts w:asciiTheme="majorBidi" w:hAnsiTheme="majorBidi" w:cstheme="majorBidi"/>
          <w:smallCaps/>
          <w:sz w:val="24"/>
          <w:szCs w:val="24"/>
        </w:rPr>
        <w:t>D</w:t>
      </w:r>
      <w:r>
        <w:rPr>
          <w:rFonts w:asciiTheme="majorBidi" w:hAnsiTheme="majorBidi" w:cstheme="majorBidi"/>
          <w:smallCaps/>
          <w:sz w:val="24"/>
          <w:szCs w:val="24"/>
        </w:rPr>
        <w:t>fi</w:t>
      </w:r>
      <w:r w:rsidRPr="00EC49B3">
        <w:rPr>
          <w:rFonts w:asciiTheme="majorBidi" w:hAnsiTheme="majorBidi" w:cstheme="majorBidi"/>
          <w:sz w:val="24"/>
          <w:szCs w:val="24"/>
        </w:rPr>
        <w:t xml:space="preserve"> que si une personne ou une opération sont soumises à deux souverainetés distinctes et concurrentes. </w:t>
      </w:r>
    </w:p>
    <w:p w:rsidR="002E34FD" w:rsidRDefault="002E34FD" w:rsidP="002E34FD">
      <w:pPr>
        <w:spacing w:after="0" w:line="360" w:lineRule="auto"/>
        <w:ind w:firstLine="709"/>
        <w:jc w:val="both"/>
        <w:rPr>
          <w:rFonts w:asciiTheme="majorBidi" w:hAnsiTheme="majorBidi" w:cstheme="majorBidi"/>
          <w:sz w:val="24"/>
          <w:szCs w:val="24"/>
        </w:rPr>
      </w:pPr>
      <w:r w:rsidRPr="00EC49B3">
        <w:rPr>
          <w:rFonts w:asciiTheme="majorBidi" w:hAnsiTheme="majorBidi" w:cstheme="majorBidi"/>
          <w:sz w:val="24"/>
          <w:szCs w:val="24"/>
        </w:rPr>
        <w:t>Cette internationalisation du droit fiscal trouve sa source dans la mobilité des personnes (physique et morales), de la marchandise et du capital. En effet, la mondialisation de l’économie a nécessité l’adoption d</w:t>
      </w:r>
      <w:r>
        <w:rPr>
          <w:rFonts w:asciiTheme="majorBidi" w:hAnsiTheme="majorBidi" w:cstheme="majorBidi"/>
          <w:sz w:val="24"/>
          <w:szCs w:val="24"/>
        </w:rPr>
        <w:t xml:space="preserve">e règles fiscales </w:t>
      </w:r>
      <w:r w:rsidRPr="00EC49B3">
        <w:rPr>
          <w:rFonts w:asciiTheme="majorBidi" w:hAnsiTheme="majorBidi" w:cstheme="majorBidi"/>
          <w:sz w:val="24"/>
          <w:szCs w:val="24"/>
        </w:rPr>
        <w:t>international</w:t>
      </w:r>
      <w:r>
        <w:rPr>
          <w:rFonts w:asciiTheme="majorBidi" w:hAnsiTheme="majorBidi" w:cstheme="majorBidi"/>
          <w:sz w:val="24"/>
          <w:szCs w:val="24"/>
        </w:rPr>
        <w:t>es dont l’objet</w:t>
      </w:r>
      <w:r>
        <w:rPr>
          <w:rStyle w:val="Appelnotedebasdep"/>
          <w:rFonts w:asciiTheme="majorBidi" w:hAnsiTheme="majorBidi" w:cstheme="majorBidi"/>
          <w:sz w:val="24"/>
          <w:szCs w:val="24"/>
        </w:rPr>
        <w:footnoteReference w:id="5"/>
      </w:r>
      <w:r>
        <w:rPr>
          <w:rFonts w:asciiTheme="majorBidi" w:hAnsiTheme="majorBidi" w:cstheme="majorBidi"/>
          <w:sz w:val="24"/>
          <w:szCs w:val="24"/>
        </w:rPr>
        <w:t xml:space="preserve"> est de :</w:t>
      </w:r>
    </w:p>
    <w:p w:rsidR="002E34FD" w:rsidRDefault="002E34FD" w:rsidP="002E34FD">
      <w:pPr>
        <w:pStyle w:val="Paragraphedeliste"/>
        <w:numPr>
          <w:ilvl w:val="0"/>
          <w:numId w:val="1"/>
        </w:numPr>
        <w:spacing w:after="0" w:line="360" w:lineRule="auto"/>
        <w:ind w:left="1066" w:hanging="357"/>
        <w:contextualSpacing w:val="0"/>
        <w:jc w:val="both"/>
        <w:rPr>
          <w:rFonts w:asciiTheme="majorBidi" w:hAnsiTheme="majorBidi" w:cstheme="majorBidi"/>
          <w:sz w:val="24"/>
          <w:szCs w:val="24"/>
        </w:rPr>
      </w:pPr>
      <w:r w:rsidRPr="004132AB">
        <w:rPr>
          <w:rFonts w:asciiTheme="majorBidi" w:hAnsiTheme="majorBidi" w:cstheme="majorBidi"/>
          <w:sz w:val="24"/>
          <w:szCs w:val="24"/>
        </w:rPr>
        <w:t>Déterminer la souveraineté fiscale de l’Etat, c’est-à-dire à qui revient le droit d’imposer le revenu, le bénéfice ou le capital, est ce à l’Etat de résidence du bénéficiaire ou à l’Etat de source des bénéfices</w:t>
      </w:r>
      <w:r>
        <w:rPr>
          <w:rFonts w:asciiTheme="majorBidi" w:hAnsiTheme="majorBidi" w:cstheme="majorBidi"/>
          <w:sz w:val="24"/>
          <w:szCs w:val="24"/>
        </w:rPr>
        <w:t> ?</w:t>
      </w:r>
    </w:p>
    <w:p w:rsidR="002E34FD" w:rsidRDefault="002E34FD" w:rsidP="002E34FD">
      <w:pPr>
        <w:pStyle w:val="Paragraphedeliste"/>
        <w:numPr>
          <w:ilvl w:val="0"/>
          <w:numId w:val="1"/>
        </w:numPr>
        <w:spacing w:after="0" w:line="360" w:lineRule="auto"/>
        <w:ind w:left="1066"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Eliminer les risques de doubles impositions. Il se peut effectivement qu’une même personne ou un même revenu soit imposable dans deux Etats différents (Etat de </w:t>
      </w:r>
      <w:r>
        <w:rPr>
          <w:rFonts w:asciiTheme="majorBidi" w:hAnsiTheme="majorBidi" w:cstheme="majorBidi"/>
          <w:sz w:val="24"/>
          <w:szCs w:val="24"/>
        </w:rPr>
        <w:lastRenderedPageBreak/>
        <w:t xml:space="preserve">source et Etat de résidence). Cette situation est un handicape pour les investisseurs étrangers car elle constitue une charge fiscale très lourde. Dans ce cas précis, pour éviter ce problème, les investisseurs ont tendance à utiliser des manipulations pour payer le moins d’impôt possible ; </w:t>
      </w:r>
    </w:p>
    <w:p w:rsidR="002E34FD" w:rsidRDefault="002E34FD" w:rsidP="002E34FD">
      <w:pPr>
        <w:pStyle w:val="Paragraphedeliste"/>
        <w:numPr>
          <w:ilvl w:val="0"/>
          <w:numId w:val="1"/>
        </w:numPr>
        <w:spacing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Lutter contre la fraude et l’évasion fiscale à travers les mécanismes de coopération fiscale internationale.   </w:t>
      </w:r>
    </w:p>
    <w:p w:rsidR="002E34FD" w:rsidRDefault="002E34FD" w:rsidP="002E34FD">
      <w:pPr>
        <w:spacing w:after="0" w:line="360" w:lineRule="auto"/>
        <w:ind w:firstLine="709"/>
        <w:jc w:val="both"/>
        <w:rPr>
          <w:rFonts w:asciiTheme="majorBidi" w:hAnsiTheme="majorBidi" w:cstheme="majorBidi"/>
          <w:i/>
          <w:iCs/>
          <w:sz w:val="24"/>
          <w:szCs w:val="24"/>
        </w:rPr>
      </w:pPr>
      <w:r>
        <w:rPr>
          <w:rFonts w:asciiTheme="majorBidi" w:hAnsiTheme="majorBidi" w:cstheme="majorBidi"/>
          <w:sz w:val="24"/>
          <w:szCs w:val="24"/>
        </w:rPr>
        <w:t xml:space="preserve">Ainsi, comme le précise Bernard </w:t>
      </w:r>
      <w:r w:rsidRPr="00A25A27">
        <w:rPr>
          <w:rFonts w:asciiTheme="majorBidi" w:hAnsiTheme="majorBidi" w:cstheme="majorBidi"/>
          <w:smallCaps/>
          <w:sz w:val="24"/>
          <w:szCs w:val="24"/>
        </w:rPr>
        <w:t>Castagnède</w:t>
      </w:r>
      <w:r>
        <w:rPr>
          <w:rFonts w:asciiTheme="majorBidi" w:hAnsiTheme="majorBidi" w:cstheme="majorBidi"/>
          <w:sz w:val="24"/>
          <w:szCs w:val="24"/>
        </w:rPr>
        <w:t xml:space="preserve"> dans son ouvrage sur la fiscalité internationale, « </w:t>
      </w:r>
      <w:r w:rsidRPr="00EE4211">
        <w:rPr>
          <w:rFonts w:asciiTheme="majorBidi" w:hAnsiTheme="majorBidi" w:cstheme="majorBidi"/>
          <w:i/>
          <w:iCs/>
          <w:sz w:val="24"/>
          <w:szCs w:val="24"/>
        </w:rPr>
        <w:t>Les problèmes fiscaux internationaux naissent de la contradiction entre la mobilité des personnes, des marchandises, des services ou des capitaux et la segmentation de l’espace planétaire en juridictions fiscales distinctes recherchant, à partir d’un territoire déterminé, la captation des produits résultant de leurs lois d’impôt</w:t>
      </w:r>
      <w:r>
        <w:rPr>
          <w:rFonts w:asciiTheme="majorBidi" w:hAnsiTheme="majorBidi" w:cstheme="majorBidi"/>
          <w:i/>
          <w:iCs/>
          <w:sz w:val="24"/>
          <w:szCs w:val="24"/>
        </w:rPr>
        <w:t>.</w:t>
      </w:r>
    </w:p>
    <w:p w:rsidR="002E34FD" w:rsidRPr="00EE4211" w:rsidRDefault="002E34FD" w:rsidP="002E34FD">
      <w:pPr>
        <w:spacing w:after="0" w:line="360" w:lineRule="auto"/>
        <w:ind w:firstLine="709"/>
        <w:jc w:val="both"/>
        <w:rPr>
          <w:rFonts w:asciiTheme="majorBidi" w:hAnsiTheme="majorBidi" w:cstheme="majorBidi"/>
          <w:sz w:val="24"/>
          <w:szCs w:val="24"/>
        </w:rPr>
      </w:pPr>
      <w:r>
        <w:rPr>
          <w:rFonts w:asciiTheme="majorBidi" w:hAnsiTheme="majorBidi" w:cstheme="majorBidi"/>
          <w:i/>
          <w:iCs/>
          <w:sz w:val="24"/>
          <w:szCs w:val="24"/>
        </w:rPr>
        <w:t>Le droit fiscal international exprime cette contradiction en même temps qu’il en poursuit la régulation… </w:t>
      </w:r>
      <w:r w:rsidRPr="00EE4211">
        <w:rPr>
          <w:rFonts w:asciiTheme="majorBidi" w:hAnsiTheme="majorBidi" w:cstheme="majorBidi"/>
          <w:sz w:val="24"/>
          <w:szCs w:val="24"/>
        </w:rPr>
        <w:t>»</w:t>
      </w:r>
      <w:r w:rsidRPr="00EE4211">
        <w:rPr>
          <w:rStyle w:val="Appelnotedebasdep"/>
          <w:rFonts w:asciiTheme="majorBidi" w:hAnsiTheme="majorBidi" w:cstheme="majorBidi"/>
          <w:sz w:val="24"/>
          <w:szCs w:val="24"/>
        </w:rPr>
        <w:footnoteReference w:id="6"/>
      </w:r>
      <w:r w:rsidRPr="00EE4211">
        <w:rPr>
          <w:rFonts w:asciiTheme="majorBidi" w:hAnsiTheme="majorBidi" w:cstheme="majorBidi"/>
          <w:sz w:val="24"/>
          <w:szCs w:val="24"/>
        </w:rPr>
        <w:t>.</w:t>
      </w:r>
    </w:p>
    <w:p w:rsidR="00186930" w:rsidRPr="002E34FD" w:rsidRDefault="009E2DF4" w:rsidP="002E34FD">
      <w:pPr>
        <w:spacing w:after="0" w:line="360" w:lineRule="auto"/>
        <w:rPr>
          <w:rFonts w:asciiTheme="majorBidi" w:hAnsiTheme="majorBidi" w:cstheme="majorBidi"/>
          <w:sz w:val="24"/>
          <w:szCs w:val="24"/>
        </w:rPr>
      </w:pPr>
    </w:p>
    <w:sectPr w:rsidR="00186930" w:rsidRPr="002E34FD" w:rsidSect="005E078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DF4" w:rsidRDefault="009E2DF4" w:rsidP="002E34FD">
      <w:pPr>
        <w:spacing w:after="0" w:line="240" w:lineRule="auto"/>
      </w:pPr>
      <w:r>
        <w:separator/>
      </w:r>
    </w:p>
  </w:endnote>
  <w:endnote w:type="continuationSeparator" w:id="1">
    <w:p w:rsidR="009E2DF4" w:rsidRDefault="009E2DF4" w:rsidP="002E3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DF4" w:rsidRDefault="009E2DF4" w:rsidP="002E34FD">
      <w:pPr>
        <w:spacing w:after="0" w:line="240" w:lineRule="auto"/>
      </w:pPr>
      <w:r>
        <w:separator/>
      </w:r>
    </w:p>
  </w:footnote>
  <w:footnote w:type="continuationSeparator" w:id="1">
    <w:p w:rsidR="009E2DF4" w:rsidRDefault="009E2DF4" w:rsidP="002E34FD">
      <w:pPr>
        <w:spacing w:after="0" w:line="240" w:lineRule="auto"/>
      </w:pPr>
      <w:r>
        <w:continuationSeparator/>
      </w:r>
    </w:p>
  </w:footnote>
  <w:footnote w:id="2">
    <w:p w:rsidR="002E34FD" w:rsidRPr="005E69FD" w:rsidRDefault="002E34FD" w:rsidP="002E34FD">
      <w:pPr>
        <w:spacing w:after="0" w:line="240" w:lineRule="auto"/>
        <w:ind w:left="284" w:hanging="284"/>
        <w:jc w:val="both"/>
        <w:rPr>
          <w:rFonts w:asciiTheme="majorBidi" w:hAnsiTheme="majorBidi" w:cstheme="majorBidi"/>
        </w:rPr>
      </w:pPr>
      <w:r w:rsidRPr="005E69FD">
        <w:rPr>
          <w:rStyle w:val="Appelnotedebasdep"/>
          <w:rFonts w:asciiTheme="majorBidi" w:hAnsiTheme="majorBidi" w:cstheme="majorBidi"/>
        </w:rPr>
        <w:footnoteRef/>
      </w:r>
      <w:r w:rsidRPr="005E69FD">
        <w:rPr>
          <w:rFonts w:asciiTheme="majorBidi" w:hAnsiTheme="majorBidi" w:cstheme="majorBidi"/>
        </w:rPr>
        <w:t xml:space="preserve"> Sur les ouvrages en droit fiscal voir</w:t>
      </w:r>
      <w:r>
        <w:rPr>
          <w:rFonts w:asciiTheme="majorBidi" w:hAnsiTheme="majorBidi" w:cstheme="majorBidi"/>
        </w:rPr>
        <w:t> :</w:t>
      </w:r>
      <w:r w:rsidRPr="005E69FD">
        <w:rPr>
          <w:rFonts w:asciiTheme="majorBidi" w:hAnsiTheme="majorBidi" w:cstheme="majorBidi"/>
        </w:rPr>
        <w:t xml:space="preserve"> </w:t>
      </w:r>
      <w:r w:rsidRPr="005E69FD">
        <w:rPr>
          <w:rFonts w:asciiTheme="majorBidi" w:hAnsiTheme="majorBidi" w:cstheme="majorBidi"/>
          <w:smallCaps/>
        </w:rPr>
        <w:t>Sadoudi</w:t>
      </w:r>
      <w:r w:rsidRPr="005E69FD">
        <w:rPr>
          <w:rFonts w:asciiTheme="majorBidi" w:hAnsiTheme="majorBidi" w:cstheme="majorBidi"/>
        </w:rPr>
        <w:t xml:space="preserve"> Ahmed, « </w:t>
      </w:r>
      <w:r w:rsidRPr="005E69FD">
        <w:rPr>
          <w:rFonts w:asciiTheme="majorBidi" w:hAnsiTheme="majorBidi" w:cstheme="majorBidi"/>
          <w:i/>
          <w:iCs/>
        </w:rPr>
        <w:t>Droit fiscal</w:t>
      </w:r>
      <w:r w:rsidRPr="005E69FD">
        <w:rPr>
          <w:rFonts w:asciiTheme="majorBidi" w:hAnsiTheme="majorBidi" w:cstheme="majorBidi"/>
        </w:rPr>
        <w:t xml:space="preserve"> », 1</w:t>
      </w:r>
      <w:r w:rsidRPr="005E69FD">
        <w:rPr>
          <w:rFonts w:asciiTheme="majorBidi" w:hAnsiTheme="majorBidi" w:cstheme="majorBidi"/>
          <w:vertAlign w:val="superscript"/>
        </w:rPr>
        <w:t>ère</w:t>
      </w:r>
      <w:r>
        <w:rPr>
          <w:rFonts w:asciiTheme="majorBidi" w:hAnsiTheme="majorBidi" w:cstheme="majorBidi"/>
        </w:rPr>
        <w:t xml:space="preserve"> </w:t>
      </w:r>
      <w:r w:rsidRPr="005E69FD">
        <w:rPr>
          <w:rFonts w:asciiTheme="majorBidi" w:hAnsiTheme="majorBidi" w:cstheme="majorBidi"/>
        </w:rPr>
        <w:t>édition, SHP édition, Alger, 2014.</w:t>
      </w:r>
    </w:p>
  </w:footnote>
  <w:footnote w:id="3">
    <w:p w:rsidR="002E34FD" w:rsidRPr="005E69FD" w:rsidRDefault="002E34FD" w:rsidP="002E34FD">
      <w:pPr>
        <w:pStyle w:val="Notedebasdepage"/>
        <w:ind w:left="284" w:hanging="284"/>
        <w:jc w:val="both"/>
        <w:rPr>
          <w:rFonts w:asciiTheme="majorBidi" w:hAnsiTheme="majorBidi" w:cstheme="majorBidi"/>
          <w:sz w:val="22"/>
          <w:szCs w:val="22"/>
        </w:rPr>
      </w:pPr>
      <w:r w:rsidRPr="005E69FD">
        <w:rPr>
          <w:rStyle w:val="Appelnotedebasdep"/>
          <w:rFonts w:asciiTheme="majorBidi" w:hAnsiTheme="majorBidi" w:cstheme="majorBidi"/>
          <w:sz w:val="22"/>
          <w:szCs w:val="22"/>
        </w:rPr>
        <w:footnoteRef/>
      </w:r>
      <w:r w:rsidRPr="005E69FD">
        <w:rPr>
          <w:rFonts w:asciiTheme="majorBidi" w:hAnsiTheme="majorBidi" w:cstheme="majorBidi"/>
          <w:sz w:val="22"/>
          <w:szCs w:val="22"/>
        </w:rPr>
        <w:t xml:space="preserve"> Sur la notion d’établissement stable voir la section 2 du 3</w:t>
      </w:r>
      <w:r w:rsidRPr="005E69FD">
        <w:rPr>
          <w:rFonts w:asciiTheme="majorBidi" w:hAnsiTheme="majorBidi" w:cstheme="majorBidi"/>
          <w:sz w:val="22"/>
          <w:szCs w:val="22"/>
          <w:vertAlign w:val="superscript"/>
        </w:rPr>
        <w:t>ème</w:t>
      </w:r>
      <w:r w:rsidRPr="005E69FD">
        <w:rPr>
          <w:rFonts w:asciiTheme="majorBidi" w:hAnsiTheme="majorBidi" w:cstheme="majorBidi"/>
          <w:sz w:val="22"/>
          <w:szCs w:val="22"/>
        </w:rPr>
        <w:t xml:space="preserve"> chapitre de ce cours.</w:t>
      </w:r>
    </w:p>
  </w:footnote>
  <w:footnote w:id="4">
    <w:p w:rsidR="002E34FD" w:rsidRPr="005E69FD" w:rsidRDefault="002E34FD" w:rsidP="002E34FD">
      <w:pPr>
        <w:spacing w:after="0" w:line="240" w:lineRule="auto"/>
        <w:ind w:left="284" w:hanging="284"/>
        <w:jc w:val="both"/>
        <w:rPr>
          <w:rFonts w:asciiTheme="majorBidi" w:hAnsiTheme="majorBidi" w:cstheme="majorBidi"/>
        </w:rPr>
      </w:pPr>
      <w:r w:rsidRPr="005E69FD">
        <w:rPr>
          <w:rStyle w:val="Appelnotedebasdep"/>
          <w:rFonts w:asciiTheme="majorBidi" w:hAnsiTheme="majorBidi" w:cstheme="majorBidi"/>
        </w:rPr>
        <w:footnoteRef/>
      </w:r>
      <w:r w:rsidRPr="005E69FD">
        <w:rPr>
          <w:rFonts w:asciiTheme="majorBidi" w:hAnsiTheme="majorBidi" w:cstheme="majorBidi"/>
        </w:rPr>
        <w:t xml:space="preserve"> Sur les ouvrages en DFI voir :</w:t>
      </w:r>
      <w:r w:rsidRPr="005E69FD">
        <w:rPr>
          <w:rFonts w:asciiTheme="majorBidi" w:hAnsiTheme="majorBidi" w:cstheme="majorBidi"/>
          <w:smallCaps/>
        </w:rPr>
        <w:t xml:space="preserve"> Ayadi</w:t>
      </w:r>
      <w:r w:rsidRPr="005E69FD">
        <w:rPr>
          <w:rFonts w:asciiTheme="majorBidi" w:hAnsiTheme="majorBidi" w:cstheme="majorBidi"/>
        </w:rPr>
        <w:t xml:space="preserve"> Habib, « </w:t>
      </w:r>
      <w:r w:rsidRPr="005E69FD">
        <w:rPr>
          <w:rFonts w:asciiTheme="majorBidi" w:hAnsiTheme="majorBidi" w:cstheme="majorBidi"/>
          <w:i/>
          <w:iCs/>
        </w:rPr>
        <w:t>Droit fiscal international</w:t>
      </w:r>
      <w:r w:rsidRPr="005E69FD">
        <w:rPr>
          <w:rFonts w:asciiTheme="majorBidi" w:hAnsiTheme="majorBidi" w:cstheme="majorBidi"/>
        </w:rPr>
        <w:t xml:space="preserve"> », Centre de Publication Universitaire, Tunis, 2001 ; </w:t>
      </w:r>
      <w:r w:rsidRPr="005E69FD">
        <w:rPr>
          <w:rFonts w:asciiTheme="majorBidi" w:hAnsiTheme="majorBidi" w:cstheme="majorBidi"/>
          <w:smallCaps/>
        </w:rPr>
        <w:t>Badie</w:t>
      </w:r>
      <w:r w:rsidRPr="005E69FD">
        <w:rPr>
          <w:rFonts w:asciiTheme="majorBidi" w:hAnsiTheme="majorBidi" w:cstheme="majorBidi"/>
        </w:rPr>
        <w:t xml:space="preserve"> Bertrand, « </w:t>
      </w:r>
      <w:r w:rsidRPr="005E69FD">
        <w:rPr>
          <w:rFonts w:asciiTheme="majorBidi" w:hAnsiTheme="majorBidi" w:cstheme="majorBidi"/>
          <w:i/>
          <w:iCs/>
        </w:rPr>
        <w:t>La fin des territoires</w:t>
      </w:r>
      <w:r w:rsidRPr="005E69FD">
        <w:rPr>
          <w:rFonts w:asciiTheme="majorBidi" w:hAnsiTheme="majorBidi" w:cstheme="majorBidi"/>
        </w:rPr>
        <w:t xml:space="preserve"> », Paris, Fayard, 1995 ; </w:t>
      </w:r>
      <w:r w:rsidRPr="005E69FD">
        <w:rPr>
          <w:rFonts w:asciiTheme="majorBidi" w:hAnsiTheme="majorBidi" w:cstheme="majorBidi"/>
          <w:smallCaps/>
        </w:rPr>
        <w:t xml:space="preserve">Besbes </w:t>
      </w:r>
      <w:r w:rsidRPr="005E69FD">
        <w:rPr>
          <w:rFonts w:asciiTheme="majorBidi" w:hAnsiTheme="majorBidi" w:cstheme="majorBidi"/>
        </w:rPr>
        <w:t xml:space="preserve">Slim, « </w:t>
      </w:r>
      <w:r w:rsidRPr="005E69FD">
        <w:rPr>
          <w:rFonts w:asciiTheme="majorBidi" w:hAnsiTheme="majorBidi" w:cstheme="majorBidi"/>
          <w:i/>
          <w:iCs/>
        </w:rPr>
        <w:t>Mémento de fiscalité internationale</w:t>
      </w:r>
      <w:r w:rsidRPr="005E69FD">
        <w:rPr>
          <w:rFonts w:asciiTheme="majorBidi" w:hAnsiTheme="majorBidi" w:cstheme="majorBidi"/>
        </w:rPr>
        <w:t xml:space="preserve"> », édition SB, 2009 ; </w:t>
      </w:r>
      <w:r w:rsidRPr="005E69FD">
        <w:rPr>
          <w:rFonts w:asciiTheme="majorBidi" w:hAnsiTheme="majorBidi" w:cstheme="majorBidi"/>
          <w:smallCaps/>
        </w:rPr>
        <w:t xml:space="preserve">Castagnede </w:t>
      </w:r>
      <w:r w:rsidRPr="005E69FD">
        <w:rPr>
          <w:rFonts w:asciiTheme="majorBidi" w:hAnsiTheme="majorBidi" w:cstheme="majorBidi"/>
        </w:rPr>
        <w:t xml:space="preserve">Bernard, « </w:t>
      </w:r>
      <w:r w:rsidRPr="005E69FD">
        <w:rPr>
          <w:rFonts w:asciiTheme="majorBidi" w:hAnsiTheme="majorBidi" w:cstheme="majorBidi"/>
          <w:i/>
          <w:iCs/>
        </w:rPr>
        <w:t>Précis de fiscalité internationale</w:t>
      </w:r>
      <w:r w:rsidRPr="005E69FD">
        <w:rPr>
          <w:rFonts w:asciiTheme="majorBidi" w:hAnsiTheme="majorBidi" w:cstheme="majorBidi"/>
        </w:rPr>
        <w:t xml:space="preserve"> », 3</w:t>
      </w:r>
      <w:r w:rsidRPr="005E69FD">
        <w:rPr>
          <w:rFonts w:asciiTheme="majorBidi" w:hAnsiTheme="majorBidi" w:cstheme="majorBidi"/>
          <w:vertAlign w:val="superscript"/>
        </w:rPr>
        <w:t>ème</w:t>
      </w:r>
      <w:r w:rsidRPr="005E69FD">
        <w:rPr>
          <w:rFonts w:asciiTheme="majorBidi" w:hAnsiTheme="majorBidi" w:cstheme="majorBidi"/>
        </w:rPr>
        <w:t xml:space="preserve"> édition, PUF, 2010 ; </w:t>
      </w:r>
      <w:r w:rsidRPr="005E69FD">
        <w:rPr>
          <w:rFonts w:asciiTheme="majorBidi" w:hAnsiTheme="majorBidi" w:cstheme="majorBidi"/>
          <w:smallCaps/>
        </w:rPr>
        <w:t xml:space="preserve">Duccini </w:t>
      </w:r>
      <w:r w:rsidRPr="005E69FD">
        <w:rPr>
          <w:rFonts w:asciiTheme="majorBidi" w:hAnsiTheme="majorBidi" w:cstheme="majorBidi"/>
        </w:rPr>
        <w:t xml:space="preserve">Roger, « </w:t>
      </w:r>
      <w:r w:rsidRPr="005E69FD">
        <w:rPr>
          <w:rFonts w:asciiTheme="majorBidi" w:hAnsiTheme="majorBidi" w:cstheme="majorBidi"/>
          <w:i/>
          <w:iCs/>
        </w:rPr>
        <w:t>Stratégie fiscale des contrats internationaux</w:t>
      </w:r>
      <w:r w:rsidRPr="005E69FD">
        <w:rPr>
          <w:rFonts w:asciiTheme="majorBidi" w:hAnsiTheme="majorBidi" w:cstheme="majorBidi"/>
        </w:rPr>
        <w:t xml:space="preserve"> », Litec, Paris, 2006 ; </w:t>
      </w:r>
      <w:r w:rsidRPr="005E69FD">
        <w:rPr>
          <w:rFonts w:asciiTheme="majorBidi" w:hAnsiTheme="majorBidi" w:cstheme="majorBidi"/>
          <w:smallCaps/>
        </w:rPr>
        <w:t xml:space="preserve">Gouthiere </w:t>
      </w:r>
      <w:r w:rsidRPr="005E69FD">
        <w:rPr>
          <w:rFonts w:asciiTheme="majorBidi" w:hAnsiTheme="majorBidi" w:cstheme="majorBidi"/>
        </w:rPr>
        <w:t xml:space="preserve">Bruno, « </w:t>
      </w:r>
      <w:r w:rsidRPr="005E69FD">
        <w:rPr>
          <w:rFonts w:asciiTheme="majorBidi" w:hAnsiTheme="majorBidi" w:cstheme="majorBidi"/>
          <w:i/>
          <w:iCs/>
        </w:rPr>
        <w:t>Les impôts dans les affaires internationales</w:t>
      </w:r>
      <w:r w:rsidRPr="005E69FD">
        <w:rPr>
          <w:rFonts w:asciiTheme="majorBidi" w:hAnsiTheme="majorBidi" w:cstheme="majorBidi"/>
        </w:rPr>
        <w:t xml:space="preserve"> », 10</w:t>
      </w:r>
      <w:r w:rsidRPr="005E69FD">
        <w:rPr>
          <w:rFonts w:asciiTheme="majorBidi" w:hAnsiTheme="majorBidi" w:cstheme="majorBidi"/>
          <w:vertAlign w:val="superscript"/>
        </w:rPr>
        <w:t>ème</w:t>
      </w:r>
      <w:r w:rsidRPr="005E69FD">
        <w:rPr>
          <w:rFonts w:asciiTheme="majorBidi" w:hAnsiTheme="majorBidi" w:cstheme="majorBidi"/>
        </w:rPr>
        <w:t xml:space="preserve"> édition, Francis LEFEBVRE, 2014 ; </w:t>
      </w:r>
      <w:r w:rsidRPr="005E69FD">
        <w:rPr>
          <w:rFonts w:asciiTheme="majorBidi" w:hAnsiTheme="majorBidi" w:cstheme="majorBidi"/>
          <w:smallCaps/>
        </w:rPr>
        <w:t xml:space="preserve">Malherbe </w:t>
      </w:r>
      <w:r w:rsidRPr="005E69FD">
        <w:rPr>
          <w:rFonts w:asciiTheme="majorBidi" w:hAnsiTheme="majorBidi" w:cstheme="majorBidi"/>
        </w:rPr>
        <w:t xml:space="preserve">Philippe, « </w:t>
      </w:r>
      <w:r w:rsidRPr="005E69FD">
        <w:rPr>
          <w:rFonts w:asciiTheme="majorBidi" w:hAnsiTheme="majorBidi" w:cstheme="majorBidi"/>
          <w:i/>
          <w:iCs/>
        </w:rPr>
        <w:t>Eléments de droit fiscal international</w:t>
      </w:r>
      <w:r w:rsidRPr="005E69FD">
        <w:rPr>
          <w:rFonts w:asciiTheme="majorBidi" w:hAnsiTheme="majorBidi" w:cstheme="majorBidi"/>
        </w:rPr>
        <w:t xml:space="preserve"> », Bruylant, Bruxelles, 2015 ; </w:t>
      </w:r>
      <w:r w:rsidRPr="005E69FD">
        <w:rPr>
          <w:rFonts w:asciiTheme="majorBidi" w:hAnsiTheme="majorBidi" w:cstheme="majorBidi"/>
          <w:smallCaps/>
        </w:rPr>
        <w:t xml:space="preserve">Rassat </w:t>
      </w:r>
      <w:r w:rsidRPr="005E69FD">
        <w:rPr>
          <w:rFonts w:asciiTheme="majorBidi" w:hAnsiTheme="majorBidi" w:cstheme="majorBidi"/>
        </w:rPr>
        <w:t xml:space="preserve">Patrick, </w:t>
      </w:r>
      <w:r w:rsidRPr="005E69FD">
        <w:rPr>
          <w:rFonts w:asciiTheme="majorBidi" w:hAnsiTheme="majorBidi" w:cstheme="majorBidi"/>
          <w:smallCaps/>
        </w:rPr>
        <w:t xml:space="preserve">Lamorlette </w:t>
      </w:r>
      <w:r w:rsidRPr="005E69FD">
        <w:rPr>
          <w:rFonts w:asciiTheme="majorBidi" w:hAnsiTheme="majorBidi" w:cstheme="majorBidi"/>
        </w:rPr>
        <w:t xml:space="preserve">Thierry, </w:t>
      </w:r>
      <w:r w:rsidRPr="005E69FD">
        <w:rPr>
          <w:rFonts w:asciiTheme="majorBidi" w:hAnsiTheme="majorBidi" w:cstheme="majorBidi"/>
          <w:smallCaps/>
        </w:rPr>
        <w:t xml:space="preserve">Camelli </w:t>
      </w:r>
      <w:r w:rsidRPr="005E69FD">
        <w:rPr>
          <w:rFonts w:asciiTheme="majorBidi" w:hAnsiTheme="majorBidi" w:cstheme="majorBidi"/>
        </w:rPr>
        <w:t xml:space="preserve">Thibault, « </w:t>
      </w:r>
      <w:r w:rsidRPr="005E69FD">
        <w:rPr>
          <w:rFonts w:asciiTheme="majorBidi" w:hAnsiTheme="majorBidi" w:cstheme="majorBidi"/>
          <w:i/>
          <w:iCs/>
        </w:rPr>
        <w:t>Stratégies fiscales internationales</w:t>
      </w:r>
      <w:r w:rsidRPr="005E69FD">
        <w:rPr>
          <w:rFonts w:asciiTheme="majorBidi" w:hAnsiTheme="majorBidi" w:cstheme="majorBidi"/>
        </w:rPr>
        <w:t xml:space="preserve"> », Maxima, Paris, 2010 ; </w:t>
      </w:r>
      <w:r w:rsidRPr="005E69FD">
        <w:rPr>
          <w:rFonts w:asciiTheme="majorBidi" w:hAnsiTheme="majorBidi" w:cstheme="majorBidi"/>
          <w:smallCaps/>
        </w:rPr>
        <w:t xml:space="preserve">Schaffner </w:t>
      </w:r>
      <w:r w:rsidRPr="005E69FD">
        <w:rPr>
          <w:rFonts w:asciiTheme="majorBidi" w:hAnsiTheme="majorBidi" w:cstheme="majorBidi"/>
        </w:rPr>
        <w:t xml:space="preserve">Jean, « </w:t>
      </w:r>
      <w:r w:rsidRPr="005E69FD">
        <w:rPr>
          <w:rFonts w:asciiTheme="majorBidi" w:hAnsiTheme="majorBidi" w:cstheme="majorBidi"/>
          <w:i/>
          <w:iCs/>
        </w:rPr>
        <w:t>Droit fiscal international</w:t>
      </w:r>
      <w:r w:rsidRPr="005E69FD">
        <w:rPr>
          <w:rFonts w:asciiTheme="majorBidi" w:hAnsiTheme="majorBidi" w:cstheme="majorBidi"/>
        </w:rPr>
        <w:t xml:space="preserve"> », 2</w:t>
      </w:r>
      <w:r w:rsidRPr="005E69FD">
        <w:rPr>
          <w:rFonts w:asciiTheme="majorBidi" w:hAnsiTheme="majorBidi" w:cstheme="majorBidi"/>
          <w:vertAlign w:val="superscript"/>
        </w:rPr>
        <w:t>ème</w:t>
      </w:r>
      <w:r w:rsidRPr="005E69FD">
        <w:rPr>
          <w:rFonts w:asciiTheme="majorBidi" w:hAnsiTheme="majorBidi" w:cstheme="majorBidi"/>
        </w:rPr>
        <w:t xml:space="preserve"> édition, Promoculture, 2005 ; </w:t>
      </w:r>
      <w:r w:rsidRPr="005E69FD">
        <w:rPr>
          <w:rFonts w:asciiTheme="majorBidi" w:hAnsiTheme="majorBidi" w:cstheme="majorBidi"/>
          <w:smallCaps/>
        </w:rPr>
        <w:t xml:space="preserve">Tixier </w:t>
      </w:r>
      <w:r w:rsidRPr="005E69FD">
        <w:rPr>
          <w:rFonts w:asciiTheme="majorBidi" w:hAnsiTheme="majorBidi" w:cstheme="majorBidi"/>
        </w:rPr>
        <w:t xml:space="preserve">Gilbert, </w:t>
      </w:r>
      <w:r w:rsidRPr="005E69FD">
        <w:rPr>
          <w:rFonts w:asciiTheme="majorBidi" w:hAnsiTheme="majorBidi" w:cstheme="majorBidi"/>
          <w:smallCaps/>
        </w:rPr>
        <w:t xml:space="preserve">Gest </w:t>
      </w:r>
      <w:r w:rsidRPr="005E69FD">
        <w:rPr>
          <w:rFonts w:asciiTheme="majorBidi" w:hAnsiTheme="majorBidi" w:cstheme="majorBidi"/>
        </w:rPr>
        <w:t xml:space="preserve">Guy, </w:t>
      </w:r>
      <w:r w:rsidRPr="005E69FD">
        <w:rPr>
          <w:rFonts w:asciiTheme="majorBidi" w:hAnsiTheme="majorBidi" w:cstheme="majorBidi"/>
          <w:smallCaps/>
        </w:rPr>
        <w:t xml:space="preserve">Kerogues </w:t>
      </w:r>
      <w:r w:rsidRPr="005E69FD">
        <w:rPr>
          <w:rFonts w:asciiTheme="majorBidi" w:hAnsiTheme="majorBidi" w:cstheme="majorBidi"/>
        </w:rPr>
        <w:t xml:space="preserve">jean, « </w:t>
      </w:r>
      <w:r w:rsidRPr="005E69FD">
        <w:rPr>
          <w:rFonts w:asciiTheme="majorBidi" w:hAnsiTheme="majorBidi" w:cstheme="majorBidi"/>
          <w:i/>
          <w:iCs/>
        </w:rPr>
        <w:t>Droit fiscal international</w:t>
      </w:r>
      <w:r w:rsidRPr="005E69FD">
        <w:rPr>
          <w:rFonts w:asciiTheme="majorBidi" w:hAnsiTheme="majorBidi" w:cstheme="majorBidi"/>
        </w:rPr>
        <w:t xml:space="preserve"> », 2</w:t>
      </w:r>
      <w:r w:rsidRPr="005E69FD">
        <w:rPr>
          <w:rFonts w:asciiTheme="majorBidi" w:hAnsiTheme="majorBidi" w:cstheme="majorBidi"/>
          <w:vertAlign w:val="superscript"/>
        </w:rPr>
        <w:t>ème</w:t>
      </w:r>
      <w:r w:rsidRPr="005E69FD">
        <w:rPr>
          <w:rFonts w:asciiTheme="majorBidi" w:hAnsiTheme="majorBidi" w:cstheme="majorBidi"/>
        </w:rPr>
        <w:t xml:space="preserve"> édition, Litec, Paris, 1979.</w:t>
      </w:r>
    </w:p>
  </w:footnote>
  <w:footnote w:id="5">
    <w:p w:rsidR="002E34FD" w:rsidRPr="00D3775C" w:rsidRDefault="002E34FD" w:rsidP="002E34FD">
      <w:pPr>
        <w:pStyle w:val="Notedebasdepage"/>
        <w:ind w:left="284" w:hanging="284"/>
        <w:jc w:val="both"/>
        <w:rPr>
          <w:rFonts w:asciiTheme="majorBidi" w:hAnsiTheme="majorBidi" w:cstheme="majorBidi"/>
          <w:sz w:val="22"/>
          <w:szCs w:val="22"/>
        </w:rPr>
      </w:pPr>
      <w:r w:rsidRPr="005E69FD">
        <w:rPr>
          <w:rStyle w:val="Appelnotedebasdep"/>
          <w:rFonts w:asciiTheme="majorBidi" w:hAnsiTheme="majorBidi" w:cstheme="majorBidi"/>
          <w:sz w:val="22"/>
          <w:szCs w:val="22"/>
        </w:rPr>
        <w:footnoteRef/>
      </w:r>
      <w:r w:rsidRPr="005E69FD">
        <w:rPr>
          <w:rFonts w:asciiTheme="majorBidi" w:hAnsiTheme="majorBidi" w:cstheme="majorBidi"/>
          <w:sz w:val="22"/>
          <w:szCs w:val="22"/>
        </w:rPr>
        <w:t xml:space="preserve"> Sur les conventions fiscales internationales</w:t>
      </w:r>
      <w:r w:rsidRPr="00D3775C">
        <w:rPr>
          <w:rFonts w:asciiTheme="majorBidi" w:hAnsiTheme="majorBidi" w:cstheme="majorBidi"/>
          <w:sz w:val="22"/>
          <w:szCs w:val="22"/>
        </w:rPr>
        <w:t>, voir AIS Souhila, « Les conventions internationales en droit fiscal », Mémoire de Magistère en Droit Comparé des Affaires, Université d’Oran, Faculté de droit, 2010-2011 ; DUBUT Thomas, « Les commentaires du modèle de convention fiscale de l’OCDE et l’interprétation des conventions fiscales bilatérales contre la double imposition. Contribution à l’étude de la normativité sans efficacité en droit international public », Revue de la recherche juridique, 2009-3 ;</w:t>
      </w:r>
    </w:p>
  </w:footnote>
  <w:footnote w:id="6">
    <w:p w:rsidR="002E34FD" w:rsidRPr="00D3775C" w:rsidRDefault="002E34FD" w:rsidP="002E34FD">
      <w:pPr>
        <w:spacing w:after="0" w:line="240" w:lineRule="auto"/>
        <w:ind w:left="284" w:hanging="284"/>
        <w:jc w:val="both"/>
        <w:rPr>
          <w:rFonts w:asciiTheme="majorBidi" w:hAnsiTheme="majorBidi" w:cstheme="majorBidi"/>
          <w:b/>
          <w:bCs/>
        </w:rPr>
      </w:pPr>
      <w:r w:rsidRPr="00D3775C">
        <w:rPr>
          <w:rStyle w:val="Appelnotedebasdep"/>
          <w:rFonts w:asciiTheme="majorBidi" w:hAnsiTheme="majorBidi" w:cstheme="majorBidi"/>
        </w:rPr>
        <w:footnoteRef/>
      </w:r>
      <w:r w:rsidRPr="00D3775C">
        <w:rPr>
          <w:rFonts w:asciiTheme="majorBidi" w:hAnsiTheme="majorBidi" w:cstheme="majorBidi"/>
        </w:rPr>
        <w:t xml:space="preserve"> </w:t>
      </w:r>
      <w:r w:rsidRPr="00D3775C">
        <w:rPr>
          <w:rFonts w:asciiTheme="majorBidi" w:hAnsiTheme="majorBidi" w:cstheme="majorBidi"/>
          <w:smallCaps/>
        </w:rPr>
        <w:t xml:space="preserve">Castagnede </w:t>
      </w:r>
      <w:r w:rsidRPr="00D3775C">
        <w:rPr>
          <w:rFonts w:asciiTheme="majorBidi" w:hAnsiTheme="majorBidi" w:cstheme="majorBidi"/>
        </w:rPr>
        <w:t xml:space="preserve">Bernard, « </w:t>
      </w:r>
      <w:r w:rsidRPr="00D3775C">
        <w:rPr>
          <w:rFonts w:asciiTheme="majorBidi" w:hAnsiTheme="majorBidi" w:cstheme="majorBidi"/>
          <w:i/>
          <w:iCs/>
        </w:rPr>
        <w:t>Précis de fiscalité internationale</w:t>
      </w:r>
      <w:r w:rsidRPr="00D3775C">
        <w:rPr>
          <w:rFonts w:asciiTheme="majorBidi" w:hAnsiTheme="majorBidi" w:cstheme="majorBidi"/>
        </w:rPr>
        <w:t xml:space="preserve"> », 3</w:t>
      </w:r>
      <w:r w:rsidRPr="00D3775C">
        <w:rPr>
          <w:rFonts w:asciiTheme="majorBidi" w:hAnsiTheme="majorBidi" w:cstheme="majorBidi"/>
          <w:vertAlign w:val="superscript"/>
        </w:rPr>
        <w:t>ème</w:t>
      </w:r>
      <w:r w:rsidRPr="00D3775C">
        <w:rPr>
          <w:rFonts w:asciiTheme="majorBidi" w:hAnsiTheme="majorBidi" w:cstheme="majorBidi"/>
        </w:rPr>
        <w:t xml:space="preserve"> édition, PUF, 2010, avant-propos.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311"/>
    <w:multiLevelType w:val="hybridMultilevel"/>
    <w:tmpl w:val="7180C152"/>
    <w:lvl w:ilvl="0" w:tplc="35E02052">
      <w:start w:val="1"/>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2E34FD"/>
    <w:rsid w:val="002E34FD"/>
    <w:rsid w:val="005E078B"/>
    <w:rsid w:val="00755FCA"/>
    <w:rsid w:val="009E2DF4"/>
    <w:rsid w:val="00D93E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4F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ormal 2,List Paragraph (numbered (a)),List Paragraph (numbered (a)) Char,List Paragraph Char Char Char,Use Case List Paragraph,List Paragraph2,List Paragraph,Paragraphe de liste numéro,References,List Paragraph (OST)"/>
    <w:basedOn w:val="Normal"/>
    <w:link w:val="ParagraphedelisteCar"/>
    <w:uiPriority w:val="34"/>
    <w:qFormat/>
    <w:rsid w:val="002E34FD"/>
    <w:pPr>
      <w:ind w:left="720"/>
      <w:contextualSpacing/>
    </w:pPr>
  </w:style>
  <w:style w:type="paragraph" w:styleId="Notedebasdepage">
    <w:name w:val="footnote text"/>
    <w:basedOn w:val="Normal"/>
    <w:link w:val="NotedebasdepageCar"/>
    <w:uiPriority w:val="99"/>
    <w:unhideWhenUsed/>
    <w:rsid w:val="002E34FD"/>
    <w:pPr>
      <w:spacing w:after="0" w:line="240" w:lineRule="auto"/>
    </w:pPr>
    <w:rPr>
      <w:sz w:val="20"/>
      <w:szCs w:val="20"/>
    </w:rPr>
  </w:style>
  <w:style w:type="character" w:customStyle="1" w:styleId="NotedebasdepageCar">
    <w:name w:val="Note de bas de page Car"/>
    <w:basedOn w:val="Policepardfaut"/>
    <w:link w:val="Notedebasdepage"/>
    <w:uiPriority w:val="99"/>
    <w:rsid w:val="002E34FD"/>
    <w:rPr>
      <w:sz w:val="20"/>
      <w:szCs w:val="20"/>
    </w:rPr>
  </w:style>
  <w:style w:type="character" w:styleId="Appelnotedebasdep">
    <w:name w:val="footnote reference"/>
    <w:basedOn w:val="Policepardfaut"/>
    <w:uiPriority w:val="99"/>
    <w:unhideWhenUsed/>
    <w:rsid w:val="002E34FD"/>
    <w:rPr>
      <w:vertAlign w:val="superscript"/>
    </w:rPr>
  </w:style>
  <w:style w:type="character" w:customStyle="1" w:styleId="ParagraphedelisteCar">
    <w:name w:val="Paragraphe de liste Car"/>
    <w:aliases w:val="Normal 2 Car,List Paragraph (numbered (a)) Car,List Paragraph (numbered (a)) Char Car,List Paragraph Char Char Char Car,Use Case List Paragraph Car,List Paragraph2 Car,List Paragraph Car,Paragraphe de liste numéro Car"/>
    <w:link w:val="Paragraphedeliste"/>
    <w:uiPriority w:val="34"/>
    <w:locked/>
    <w:rsid w:val="002E34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2211</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2024-01-22T14:18:00Z</dcterms:created>
  <dcterms:modified xsi:type="dcterms:W3CDTF">2024-01-22T14:18:00Z</dcterms:modified>
</cp:coreProperties>
</file>