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B73F" w14:textId="77777777" w:rsidR="00927AD5" w:rsidRDefault="00C37CAF" w:rsidP="00C37CAF">
      <w:pPr>
        <w:bidi/>
        <w:jc w:val="center"/>
        <w:rPr>
          <w:rFonts w:ascii="Tajawal Black" w:hAnsi="Tajawal Black" w:cs="Tajawal Black"/>
          <w:b/>
          <w:bCs/>
          <w:sz w:val="32"/>
          <w:szCs w:val="32"/>
          <w:rtl/>
          <w:lang w:bidi="ar-DZ"/>
        </w:rPr>
      </w:pPr>
      <w:r w:rsidRPr="00A721CE">
        <w:rPr>
          <w:rFonts w:ascii="Tajawal Black" w:hAnsi="Tajawal Black" w:cs="Tajawal Black"/>
          <w:b/>
          <w:bCs/>
          <w:sz w:val="32"/>
          <w:szCs w:val="32"/>
          <w:rtl/>
          <w:lang w:bidi="ar-DZ"/>
        </w:rPr>
        <w:t>حق المعاينة</w:t>
      </w:r>
    </w:p>
    <w:p w14:paraId="1E4FD9BC" w14:textId="77777777" w:rsidR="00A721CE" w:rsidRDefault="00A721CE" w:rsidP="00A721CE">
      <w:pPr>
        <w:bidi/>
        <w:jc w:val="center"/>
        <w:rPr>
          <w:rFonts w:ascii="Tajawal Black" w:hAnsi="Tajawal Black" w:cs="Tajawal Black"/>
          <w:b/>
          <w:bCs/>
          <w:sz w:val="32"/>
          <w:szCs w:val="32"/>
          <w:lang w:bidi="ar-DZ"/>
        </w:rPr>
      </w:pPr>
      <w:r>
        <w:rPr>
          <w:rFonts w:ascii="Tajawal Black" w:hAnsi="Tajawal Black" w:cs="Tajawal Black"/>
          <w:b/>
          <w:bCs/>
          <w:sz w:val="32"/>
          <w:szCs w:val="32"/>
          <w:lang w:bidi="ar-DZ"/>
        </w:rPr>
        <w:t>Droit de visite</w:t>
      </w:r>
    </w:p>
    <w:p w14:paraId="7860BFB6" w14:textId="77777777" w:rsidR="00A721CE" w:rsidRDefault="00A721CE" w:rsidP="00A721CE">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هو ذلك الحق الذي مكّن فيه المشرع الإدارة الجبائية من سلطة تحري فعالة ضد كل مكلّف بالضريبة يشتبه أنه يتهرب من التزاماته الضريبية عن طريق ممارسات تدليسية مختلفة. وقد جاء النص عليه في المواد من 34 إلى 37 من قانون الإجراءات الجبائية. يتمثل هذا الحق في امكانية قيام الإدارة الجبائية بزيارة كل الأمكنة سواء المهنية أو السكنية التابعة للمكلف بالضريبة المشتبه به و القيام في عين المكان بحجز كل الوثائق و العناصر المادية الأخرى التي تثبت وجود غش ضريبي</w:t>
      </w:r>
      <w:r w:rsidR="006636D2">
        <w:rPr>
          <w:rFonts w:ascii="Traditional Arabic" w:hAnsi="Traditional Arabic" w:cs="Traditional Arabic" w:hint="cs"/>
          <w:sz w:val="32"/>
          <w:szCs w:val="32"/>
          <w:rtl/>
          <w:lang w:bidi="ar-DZ"/>
        </w:rPr>
        <w:t xml:space="preserve">، على أنه يتطلب من الإدارة قبل القيام بالتفتيش  ضرورة الحصول أولا على رخصة قضائية يقدمها رئيس الجهة القضائية أو من ينوب عنه في ذلك من القضاة، بعد تحققه من جدية و صحة مزاعم الإدارة الجبائية للجوء إلى هذا الإجراء. </w:t>
      </w:r>
    </w:p>
    <w:p w14:paraId="32A78EB9" w14:textId="77777777" w:rsidR="006636D2" w:rsidRDefault="006636D2" w:rsidP="006636D2">
      <w:pPr>
        <w:bidi/>
        <w:ind w:firstLine="567"/>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شروطه الإجرائية</w:t>
      </w:r>
    </w:p>
    <w:p w14:paraId="611B0E5F" w14:textId="77777777" w:rsidR="006636D2" w:rsidRDefault="006636D2" w:rsidP="006636D2">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يجب أن تتم هذه الزيارة</w:t>
      </w:r>
      <w:r>
        <w:rPr>
          <w:rStyle w:val="Appelnotedebasdep"/>
          <w:rFonts w:ascii="Traditional Arabic" w:hAnsi="Traditional Arabic" w:cs="Traditional Arabic"/>
          <w:sz w:val="32"/>
          <w:szCs w:val="32"/>
          <w:rtl/>
          <w:lang w:bidi="ar-DZ"/>
        </w:rPr>
        <w:footnoteReference w:id="1"/>
      </w:r>
      <w:r w:rsidR="004F19E9">
        <w:rPr>
          <w:rFonts w:ascii="Traditional Arabic" w:hAnsi="Traditional Arabic" w:cs="Traditional Arabic" w:hint="cs"/>
          <w:sz w:val="32"/>
          <w:szCs w:val="32"/>
          <w:rtl/>
          <w:lang w:bidi="ar-DZ"/>
        </w:rPr>
        <w:t xml:space="preserve"> </w:t>
      </w:r>
      <w:r w:rsidR="00076518">
        <w:rPr>
          <w:rFonts w:ascii="Traditional Arabic" w:hAnsi="Traditional Arabic" w:cs="Traditional Arabic" w:hint="cs"/>
          <w:sz w:val="32"/>
          <w:szCs w:val="32"/>
          <w:rtl/>
          <w:lang w:bidi="ar-DZ"/>
        </w:rPr>
        <w:t xml:space="preserve">حسب المادة 34 من ق إ ج، </w:t>
      </w:r>
      <w:r w:rsidR="004F19E9">
        <w:rPr>
          <w:rFonts w:ascii="Traditional Arabic" w:hAnsi="Traditional Arabic" w:cs="Traditional Arabic" w:hint="cs"/>
          <w:sz w:val="32"/>
          <w:szCs w:val="32"/>
          <w:rtl/>
          <w:lang w:bidi="ar-DZ"/>
        </w:rPr>
        <w:t>تحت إدارة عون في رتبة مفتش ضرائب مؤهل قانونا لإجراء التفتيشات و حجز الوثائق و كل الوسائط أو العناصر المادية التي تبرر تصرفات غرضها التملص من الوعاء أو الرقابة أو دفع الضريبة.</w:t>
      </w:r>
    </w:p>
    <w:p w14:paraId="66033112" w14:textId="5BA67E68" w:rsidR="00076518" w:rsidRDefault="00076518" w:rsidP="00076518">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يجب أن يرخص بزيارة الأمكنة عن طريق أمر صادر من رئيس الجهة القضائية حسب المادة 35 من ق إ ج </w:t>
      </w:r>
      <w:r w:rsidR="00AE256C">
        <w:rPr>
          <w:rFonts w:ascii="Traditional Arabic" w:hAnsi="Traditional Arabic" w:cs="Traditional Arabic" w:hint="cs"/>
          <w:sz w:val="32"/>
          <w:szCs w:val="32"/>
          <w:rtl/>
          <w:lang w:bidi="ar-DZ"/>
        </w:rPr>
        <w:t>وهو</w:t>
      </w:r>
      <w:r>
        <w:rPr>
          <w:rFonts w:ascii="Traditional Arabic" w:hAnsi="Traditional Arabic" w:cs="Traditional Arabic" w:hint="cs"/>
          <w:sz w:val="32"/>
          <w:szCs w:val="32"/>
          <w:rtl/>
          <w:lang w:bidi="ar-DZ"/>
        </w:rPr>
        <w:t xml:space="preserve"> إما رئيس المحكمة المختصة إقليميا أو قاضي آخر ينوب عنه شخصيا</w:t>
      </w:r>
      <w:r>
        <w:rPr>
          <w:rStyle w:val="Appelnotedebasdep"/>
          <w:rFonts w:ascii="Traditional Arabic" w:hAnsi="Traditional Arabic" w:cs="Traditional Arabic"/>
          <w:sz w:val="32"/>
          <w:szCs w:val="32"/>
          <w:rtl/>
          <w:lang w:bidi="ar-DZ"/>
        </w:rPr>
        <w:footnoteReference w:id="2"/>
      </w:r>
      <w:r>
        <w:rPr>
          <w:rFonts w:ascii="Traditional Arabic" w:hAnsi="Traditional Arabic" w:cs="Traditional Arabic" w:hint="cs"/>
          <w:sz w:val="32"/>
          <w:szCs w:val="32"/>
          <w:rtl/>
          <w:lang w:bidi="ar-DZ"/>
        </w:rPr>
        <w:t xml:space="preserve">. </w:t>
      </w:r>
    </w:p>
    <w:p w14:paraId="237E6239" w14:textId="1DFB9ED2" w:rsidR="001135EF" w:rsidRDefault="001135EF" w:rsidP="001135EF">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يقدم طلب الحصول على رخصة من قبل الإدارة الجبائية إلى السلطة القضائية. يجب أن يكون الطلب مؤسس </w:t>
      </w:r>
      <w:r w:rsidR="00AE256C">
        <w:rPr>
          <w:rFonts w:ascii="Traditional Arabic" w:hAnsi="Traditional Arabic" w:cs="Traditional Arabic" w:hint="cs"/>
          <w:sz w:val="32"/>
          <w:szCs w:val="32"/>
          <w:rtl/>
          <w:lang w:bidi="ar-DZ"/>
        </w:rPr>
        <w:t>ويحتوي</w:t>
      </w:r>
      <w:r>
        <w:rPr>
          <w:rFonts w:ascii="Traditional Arabic" w:hAnsi="Traditional Arabic" w:cs="Traditional Arabic" w:hint="cs"/>
          <w:sz w:val="32"/>
          <w:szCs w:val="32"/>
          <w:rtl/>
          <w:lang w:bidi="ar-DZ"/>
        </w:rPr>
        <w:t xml:space="preserve"> على كل المعلومات التي تحوزها الإدارة </w:t>
      </w:r>
      <w:r w:rsidR="00AE256C">
        <w:rPr>
          <w:rFonts w:ascii="Traditional Arabic" w:hAnsi="Traditional Arabic" w:cs="Traditional Arabic" w:hint="cs"/>
          <w:sz w:val="32"/>
          <w:szCs w:val="32"/>
          <w:rtl/>
          <w:lang w:bidi="ar-DZ"/>
        </w:rPr>
        <w:t>والتي</w:t>
      </w:r>
      <w:r>
        <w:rPr>
          <w:rFonts w:ascii="Traditional Arabic" w:hAnsi="Traditional Arabic" w:cs="Traditional Arabic" w:hint="cs"/>
          <w:sz w:val="32"/>
          <w:szCs w:val="32"/>
          <w:rtl/>
          <w:lang w:bidi="ar-DZ"/>
        </w:rPr>
        <w:t xml:space="preserve"> من طبيعتها تبرير عملية التفتيش </w:t>
      </w:r>
      <w:r w:rsidR="00AE256C">
        <w:rPr>
          <w:rFonts w:ascii="Traditional Arabic" w:hAnsi="Traditional Arabic" w:cs="Traditional Arabic" w:hint="cs"/>
          <w:sz w:val="32"/>
          <w:szCs w:val="32"/>
          <w:rtl/>
          <w:lang w:bidi="ar-DZ"/>
        </w:rPr>
        <w:t>ومنها</w:t>
      </w:r>
      <w:r>
        <w:rPr>
          <w:rFonts w:ascii="Traditional Arabic" w:hAnsi="Traditional Arabic" w:cs="Traditional Arabic" w:hint="cs"/>
          <w:sz w:val="32"/>
          <w:szCs w:val="32"/>
          <w:rtl/>
          <w:lang w:bidi="ar-DZ"/>
        </w:rPr>
        <w:t>:</w:t>
      </w:r>
    </w:p>
    <w:p w14:paraId="428AE0A6" w14:textId="77777777" w:rsidR="001135EF" w:rsidRDefault="001135EF" w:rsidP="001135EF">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التعريف بهوية الشخص الطبيعي أو المعنوي المعني بالزيارة.</w:t>
      </w:r>
    </w:p>
    <w:p w14:paraId="64D92621" w14:textId="77777777" w:rsidR="001135EF" w:rsidRDefault="001135EF" w:rsidP="001135EF">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عناوين الأمكنة الخاضعة للتفتيش.</w:t>
      </w:r>
    </w:p>
    <w:p w14:paraId="7998BA6B" w14:textId="77777777" w:rsidR="001135EF" w:rsidRDefault="001135EF" w:rsidP="001135EF">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العناصر الواقعية أو القانونية التي تسمح باحتمال وجود ممارسات تدليسية و التي يرغب في البحث عن الدليل عليها.</w:t>
      </w:r>
    </w:p>
    <w:p w14:paraId="7334936E" w14:textId="39A4742D" w:rsidR="001135EF" w:rsidRDefault="001135EF" w:rsidP="001135EF">
      <w:pPr>
        <w:pStyle w:val="Paragraphedeliste"/>
        <w:numPr>
          <w:ilvl w:val="0"/>
          <w:numId w:val="1"/>
        </w:numPr>
        <w:bidi/>
        <w:jc w:val="both"/>
        <w:rPr>
          <w:rFonts w:ascii="Traditional Arabic" w:hAnsi="Traditional Arabic" w:cs="Traditional Arabic"/>
          <w:sz w:val="32"/>
          <w:szCs w:val="32"/>
          <w:lang w:bidi="ar-DZ"/>
        </w:rPr>
      </w:pPr>
      <w:r w:rsidRPr="001135EF">
        <w:rPr>
          <w:rFonts w:ascii="Traditional Arabic" w:hAnsi="Traditional Arabic" w:cs="Traditional Arabic" w:hint="cs"/>
          <w:sz w:val="32"/>
          <w:szCs w:val="32"/>
          <w:rtl/>
          <w:lang w:bidi="ar-DZ"/>
        </w:rPr>
        <w:t xml:space="preserve">أسماء </w:t>
      </w:r>
      <w:r w:rsidR="00AE256C" w:rsidRPr="001135EF">
        <w:rPr>
          <w:rFonts w:ascii="Traditional Arabic" w:hAnsi="Traditional Arabic" w:cs="Traditional Arabic" w:hint="cs"/>
          <w:sz w:val="32"/>
          <w:szCs w:val="32"/>
          <w:rtl/>
          <w:lang w:bidi="ar-DZ"/>
        </w:rPr>
        <w:t>ورتب</w:t>
      </w:r>
      <w:r w:rsidRPr="001135EF">
        <w:rPr>
          <w:rFonts w:ascii="Traditional Arabic" w:hAnsi="Traditional Arabic" w:cs="Traditional Arabic" w:hint="cs"/>
          <w:sz w:val="32"/>
          <w:szCs w:val="32"/>
          <w:rtl/>
          <w:lang w:bidi="ar-DZ"/>
        </w:rPr>
        <w:t xml:space="preserve"> الأعوان المكلفين بإجراء الزيارة للأمكنة</w:t>
      </w:r>
      <w:r>
        <w:rPr>
          <w:rFonts w:ascii="Traditional Arabic" w:hAnsi="Traditional Arabic" w:cs="Traditional Arabic" w:hint="cs"/>
          <w:sz w:val="32"/>
          <w:szCs w:val="32"/>
          <w:rtl/>
          <w:lang w:bidi="ar-DZ"/>
        </w:rPr>
        <w:t>.</w:t>
      </w:r>
    </w:p>
    <w:p w14:paraId="4308C6D7" w14:textId="77777777" w:rsidR="001135EF" w:rsidRDefault="00B73949" w:rsidP="00B73949">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تتم عملية التفتيش و حجز العناصر و الأدلة المشكلة للغش الضريبي تحت سلطة القاضي المرخص ورقابته، وتسهيلا لذلك يتولى وكيل الجمهورية بالمحكمة المختصة تعيين ضابط بالشرطة القضائية لمصاحبة أعوان الإدارة الجبائية المكلفين بالزيارة.</w:t>
      </w:r>
    </w:p>
    <w:p w14:paraId="42C104E4" w14:textId="77777777" w:rsidR="00B73949" w:rsidRDefault="00B73949" w:rsidP="00B73949">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تٌبلّغ نسخة مع وصل الاستلام من الأمر المرخص بالمعاينة في عين المكان و عند إجراء التفتيش إلى الشخص المعني أو ممثله أو إلى أي شخص آخر يشغل المكان. في حالة غياب أي شخص في عين المكان على ضابط الشرطة القضائية استقدام شاهدين من خارج أعوان الشرطة أو الإدارة الجبائية</w:t>
      </w:r>
      <w:r w:rsidR="00E83D8C">
        <w:rPr>
          <w:rFonts w:ascii="Traditional Arabic" w:hAnsi="Traditional Arabic" w:cs="Traditional Arabic" w:hint="cs"/>
          <w:sz w:val="32"/>
          <w:szCs w:val="32"/>
          <w:rtl/>
          <w:lang w:bidi="ar-DZ"/>
        </w:rPr>
        <w:t xml:space="preserve"> لحضور المعاينة و في حالة الاستحالة يستعين بمحضر قضائي.</w:t>
      </w:r>
    </w:p>
    <w:p w14:paraId="01E5700E" w14:textId="1120B3A4" w:rsidR="00E83D8C" w:rsidRDefault="00E83D8C" w:rsidP="00E83D8C">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لا تجرى المعاينة قبل السادسة 06 صباحا </w:t>
      </w:r>
      <w:r w:rsidR="00AE256C">
        <w:rPr>
          <w:rFonts w:ascii="Traditional Arabic" w:hAnsi="Traditional Arabic" w:cs="Traditional Arabic" w:hint="cs"/>
          <w:sz w:val="32"/>
          <w:szCs w:val="32"/>
          <w:rtl/>
          <w:lang w:bidi="ar-DZ"/>
        </w:rPr>
        <w:t>ولا</w:t>
      </w:r>
      <w:r>
        <w:rPr>
          <w:rFonts w:ascii="Traditional Arabic" w:hAnsi="Traditional Arabic" w:cs="Traditional Arabic" w:hint="cs"/>
          <w:sz w:val="32"/>
          <w:szCs w:val="32"/>
          <w:rtl/>
          <w:lang w:bidi="ar-DZ"/>
        </w:rPr>
        <w:t xml:space="preserve"> بعد الثامنة 20 مساء.</w:t>
      </w:r>
    </w:p>
    <w:p w14:paraId="5A0878AA" w14:textId="22875150" w:rsidR="00E83D8C" w:rsidRDefault="00E83D8C" w:rsidP="00E83D8C">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في نهاية عمليات التفتيش، يٌحرر محضر يتضمن سير العمليات </w:t>
      </w:r>
      <w:r w:rsidR="00AE256C">
        <w:rPr>
          <w:rFonts w:ascii="Traditional Arabic" w:hAnsi="Traditional Arabic" w:cs="Traditional Arabic" w:hint="cs"/>
          <w:sz w:val="32"/>
          <w:szCs w:val="32"/>
          <w:rtl/>
          <w:lang w:bidi="ar-DZ"/>
        </w:rPr>
        <w:t>وجميع</w:t>
      </w:r>
      <w:r>
        <w:rPr>
          <w:rFonts w:ascii="Traditional Arabic" w:hAnsi="Traditional Arabic" w:cs="Traditional Arabic" w:hint="cs"/>
          <w:sz w:val="32"/>
          <w:szCs w:val="32"/>
          <w:rtl/>
          <w:lang w:bidi="ar-DZ"/>
        </w:rPr>
        <w:t xml:space="preserve"> المعاينات التي تم ملاحظتها أثناء زيارة الأمكنة</w:t>
      </w:r>
      <w:r w:rsidR="0029632A">
        <w:rPr>
          <w:rStyle w:val="Appelnotedebasdep"/>
          <w:rFonts w:ascii="Traditional Arabic" w:hAnsi="Traditional Arabic" w:cs="Traditional Arabic"/>
          <w:sz w:val="32"/>
          <w:szCs w:val="32"/>
          <w:rtl/>
          <w:lang w:bidi="ar-DZ"/>
        </w:rPr>
        <w:footnoteReference w:id="3"/>
      </w:r>
      <w:r>
        <w:rPr>
          <w:rFonts w:ascii="Traditional Arabic" w:hAnsi="Traditional Arabic" w:cs="Traditional Arabic" w:hint="cs"/>
          <w:sz w:val="32"/>
          <w:szCs w:val="32"/>
          <w:rtl/>
          <w:lang w:bidi="ar-DZ"/>
        </w:rPr>
        <w:t>. يتضمن هذا المحضر كذلك:</w:t>
      </w:r>
    </w:p>
    <w:p w14:paraId="1209F8B7" w14:textId="77777777" w:rsidR="00E83D8C" w:rsidRDefault="0029632A" w:rsidP="00E83D8C">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التعريف بالأشخاص الذين قاموا بعمليات المعاينة.</w:t>
      </w:r>
    </w:p>
    <w:p w14:paraId="23973EA0" w14:textId="2A86BC05" w:rsidR="0029632A" w:rsidRDefault="00AE256C" w:rsidP="0029632A">
      <w:pPr>
        <w:pStyle w:val="Paragraphedeliste"/>
        <w:numPr>
          <w:ilvl w:val="0"/>
          <w:numId w:val="1"/>
        </w:numPr>
        <w:bidi/>
        <w:jc w:val="both"/>
        <w:rPr>
          <w:rFonts w:ascii="Traditional Arabic" w:hAnsi="Traditional Arabic" w:cs="Traditional Arabic"/>
          <w:sz w:val="32"/>
          <w:szCs w:val="32"/>
          <w:lang w:bidi="ar-DZ"/>
        </w:rPr>
      </w:pPr>
      <w:bookmarkStart w:id="0" w:name="_Hlk97583026"/>
      <w:r>
        <w:rPr>
          <w:rFonts w:ascii="Traditional Arabic" w:hAnsi="Traditional Arabic" w:cs="Traditional Arabic" w:hint="cs"/>
          <w:sz w:val="32"/>
          <w:szCs w:val="32"/>
          <w:rtl/>
          <w:lang w:bidi="ar-DZ"/>
        </w:rPr>
        <w:t>التعريف بالأشخاص وصفاتهم الذين حضروا عمليات المعاينة (المعني، ممثلوه أو أي شاغل آخر، الشهود المختارون).</w:t>
      </w:r>
    </w:p>
    <w:p w14:paraId="59FEF1B3" w14:textId="3508FD7E" w:rsidR="00AC6DC6" w:rsidRPr="00AC6DC6" w:rsidRDefault="00AE256C" w:rsidP="00AC6DC6">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تاريخ وساعة المعاينة.</w:t>
      </w:r>
    </w:p>
    <w:p w14:paraId="12292051" w14:textId="17B01894" w:rsidR="00AE256C" w:rsidRDefault="00AE256C" w:rsidP="00AE256C">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جرد كل الوثائق </w:t>
      </w:r>
      <w:r w:rsidR="00AC6DC6">
        <w:rPr>
          <w:rFonts w:ascii="Traditional Arabic" w:hAnsi="Traditional Arabic" w:cs="Traditional Arabic" w:hint="cs"/>
          <w:sz w:val="32"/>
          <w:szCs w:val="32"/>
          <w:rtl/>
          <w:lang w:bidi="ar-DZ"/>
        </w:rPr>
        <w:t>والمواد</w:t>
      </w:r>
      <w:r>
        <w:rPr>
          <w:rFonts w:ascii="Traditional Arabic" w:hAnsi="Traditional Arabic" w:cs="Traditional Arabic" w:hint="cs"/>
          <w:sz w:val="32"/>
          <w:szCs w:val="32"/>
          <w:rtl/>
          <w:lang w:bidi="ar-DZ"/>
        </w:rPr>
        <w:t xml:space="preserve"> التي تم حجزها. في حالة تعذر الجرد في عين المكان، توضع الأشياء المحجوزة في قفل إلى غاية</w:t>
      </w:r>
      <w:r w:rsidR="00AC6DC6">
        <w:rPr>
          <w:rFonts w:ascii="Traditional Arabic" w:hAnsi="Traditional Arabic" w:cs="Traditional Arabic" w:hint="cs"/>
          <w:sz w:val="32"/>
          <w:szCs w:val="32"/>
          <w:rtl/>
          <w:lang w:bidi="ar-DZ"/>
        </w:rPr>
        <w:t xml:space="preserve"> فتحه بحضور المعني أو ممثله وضابط الشرطة القضائية سواء في مكاتب الإدارة الجبائية أو محافظة الشرطة المختصة إقليميا</w:t>
      </w:r>
      <w:r w:rsidR="00AC6DC6">
        <w:rPr>
          <w:rStyle w:val="Appelnotedebasdep"/>
          <w:rFonts w:ascii="Traditional Arabic" w:hAnsi="Traditional Arabic" w:cs="Traditional Arabic"/>
          <w:sz w:val="32"/>
          <w:szCs w:val="32"/>
          <w:rtl/>
          <w:lang w:bidi="ar-DZ"/>
        </w:rPr>
        <w:footnoteReference w:id="4"/>
      </w:r>
      <w:r w:rsidR="00AC6DC6">
        <w:rPr>
          <w:rFonts w:ascii="Traditional Arabic" w:hAnsi="Traditional Arabic" w:cs="Traditional Arabic" w:hint="cs"/>
          <w:sz w:val="32"/>
          <w:szCs w:val="32"/>
          <w:rtl/>
          <w:lang w:bidi="ar-DZ"/>
        </w:rPr>
        <w:t>.</w:t>
      </w:r>
    </w:p>
    <w:p w14:paraId="326ACD8F" w14:textId="46826E6A" w:rsidR="00AC6DC6" w:rsidRDefault="00AC6DC6" w:rsidP="00AC6DC6">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تقديم نسخة من محضر المعاينة </w:t>
      </w:r>
      <w:r w:rsidR="00683856">
        <w:rPr>
          <w:rFonts w:ascii="Traditional Arabic" w:hAnsi="Traditional Arabic" w:cs="Traditional Arabic" w:hint="cs"/>
          <w:sz w:val="32"/>
          <w:szCs w:val="32"/>
          <w:rtl/>
          <w:lang w:bidi="ar-DZ"/>
        </w:rPr>
        <w:t>والجرد</w:t>
      </w:r>
      <w:r>
        <w:rPr>
          <w:rFonts w:ascii="Traditional Arabic" w:hAnsi="Traditional Arabic" w:cs="Traditional Arabic" w:hint="cs"/>
          <w:sz w:val="32"/>
          <w:szCs w:val="32"/>
          <w:rtl/>
          <w:lang w:bidi="ar-DZ"/>
        </w:rPr>
        <w:t xml:space="preserve"> إلى المعني أو ممثله </w:t>
      </w:r>
      <w:r w:rsidR="00683856">
        <w:rPr>
          <w:rFonts w:ascii="Traditional Arabic" w:hAnsi="Traditional Arabic" w:cs="Traditional Arabic" w:hint="cs"/>
          <w:sz w:val="32"/>
          <w:szCs w:val="32"/>
          <w:rtl/>
          <w:lang w:bidi="ar-DZ"/>
        </w:rPr>
        <w:t>وإلى</w:t>
      </w:r>
      <w:r>
        <w:rPr>
          <w:rFonts w:ascii="Traditional Arabic" w:hAnsi="Traditional Arabic" w:cs="Traditional Arabic" w:hint="cs"/>
          <w:sz w:val="32"/>
          <w:szCs w:val="32"/>
          <w:rtl/>
          <w:lang w:bidi="ar-DZ"/>
        </w:rPr>
        <w:t xml:space="preserve"> القاضي الذي أمر بالزيارة</w:t>
      </w:r>
      <w:r w:rsidR="00683856">
        <w:rPr>
          <w:rStyle w:val="Appelnotedebasdep"/>
          <w:rFonts w:ascii="Traditional Arabic" w:hAnsi="Traditional Arabic" w:cs="Traditional Arabic"/>
          <w:sz w:val="32"/>
          <w:szCs w:val="32"/>
          <w:rtl/>
          <w:lang w:bidi="ar-DZ"/>
        </w:rPr>
        <w:footnoteReference w:id="5"/>
      </w:r>
      <w:r>
        <w:rPr>
          <w:rFonts w:ascii="Traditional Arabic" w:hAnsi="Traditional Arabic" w:cs="Traditional Arabic" w:hint="cs"/>
          <w:sz w:val="32"/>
          <w:szCs w:val="32"/>
          <w:rtl/>
          <w:lang w:bidi="ar-DZ"/>
        </w:rPr>
        <w:t>.</w:t>
      </w:r>
    </w:p>
    <w:p w14:paraId="14D2A3F7" w14:textId="6611A782" w:rsidR="00683856" w:rsidRDefault="00683856" w:rsidP="00683856">
      <w:pPr>
        <w:bidi/>
        <w:ind w:firstLine="567"/>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الرقابة القضائية على إجراء المعاينة</w:t>
      </w:r>
    </w:p>
    <w:p w14:paraId="4E5419C4" w14:textId="7B51D4CD" w:rsidR="00683856" w:rsidRDefault="00683856" w:rsidP="00683856">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على القاضي الإداري أن يستخلص كل النتائج من إلغاء </w:t>
      </w:r>
      <w:r w:rsidR="008F1ECF">
        <w:rPr>
          <w:rFonts w:ascii="Traditional Arabic" w:hAnsi="Traditional Arabic" w:cs="Traditional Arabic" w:hint="cs"/>
          <w:sz w:val="32"/>
          <w:szCs w:val="32"/>
          <w:rtl/>
          <w:lang w:bidi="ar-DZ"/>
        </w:rPr>
        <w:t xml:space="preserve">عمليات التفتيش من طرف القاضي الذي رخص بالعمليات. إذا أقدم رئيس الجهة القضائية بإلغاء العمليات نظرا لحجز وثائق محاسبية </w:t>
      </w:r>
      <w:r w:rsidR="008F1ECF">
        <w:rPr>
          <w:rFonts w:ascii="Traditional Arabic" w:hAnsi="Traditional Arabic" w:cs="Traditional Arabic" w:hint="cs"/>
          <w:sz w:val="32"/>
          <w:szCs w:val="32"/>
          <w:rtl/>
          <w:lang w:bidi="ar-DZ"/>
        </w:rPr>
        <w:t>مثلا</w:t>
      </w:r>
      <w:r w:rsidR="008F1ECF">
        <w:rPr>
          <w:rFonts w:ascii="Traditional Arabic" w:hAnsi="Traditional Arabic" w:cs="Traditional Arabic" w:hint="cs"/>
          <w:sz w:val="32"/>
          <w:szCs w:val="32"/>
          <w:rtl/>
          <w:lang w:bidi="ar-DZ"/>
        </w:rPr>
        <w:t xml:space="preserve"> لشركة غير معنية بحق الزيارة، يتعي</w:t>
      </w:r>
      <w:r w:rsidR="00046A1A">
        <w:rPr>
          <w:rFonts w:ascii="Traditional Arabic" w:hAnsi="Traditional Arabic" w:cs="Traditional Arabic" w:hint="cs"/>
          <w:sz w:val="32"/>
          <w:szCs w:val="32"/>
          <w:rtl/>
          <w:lang w:bidi="ar-DZ"/>
        </w:rPr>
        <w:t>ّ</w:t>
      </w:r>
      <w:r w:rsidR="008F1ECF">
        <w:rPr>
          <w:rFonts w:ascii="Traditional Arabic" w:hAnsi="Traditional Arabic" w:cs="Traditional Arabic" w:hint="cs"/>
          <w:sz w:val="32"/>
          <w:szCs w:val="32"/>
          <w:rtl/>
          <w:lang w:bidi="ar-DZ"/>
        </w:rPr>
        <w:t xml:space="preserve">ن </w:t>
      </w:r>
      <w:r w:rsidR="00046A1A">
        <w:rPr>
          <w:rFonts w:ascii="Traditional Arabic" w:hAnsi="Traditional Arabic" w:cs="Traditional Arabic" w:hint="cs"/>
          <w:sz w:val="32"/>
          <w:szCs w:val="32"/>
          <w:rtl/>
          <w:lang w:bidi="ar-DZ"/>
        </w:rPr>
        <w:t xml:space="preserve">على القاضي الإداري الناظر في الموضوع </w:t>
      </w:r>
      <w:r w:rsidR="008F1ECF">
        <w:rPr>
          <w:rFonts w:ascii="Traditional Arabic" w:hAnsi="Traditional Arabic" w:cs="Traditional Arabic" w:hint="cs"/>
          <w:sz w:val="32"/>
          <w:szCs w:val="32"/>
          <w:rtl/>
          <w:lang w:bidi="ar-DZ"/>
        </w:rPr>
        <w:t>إلغاء إجراءات إعادة التقويم الناجمة عن معلومات مستقاة من هذه العمليات</w:t>
      </w:r>
      <w:r w:rsidR="00046A1A">
        <w:rPr>
          <w:rFonts w:ascii="Traditional Arabic" w:hAnsi="Traditional Arabic" w:cs="Traditional Arabic" w:hint="cs"/>
          <w:sz w:val="32"/>
          <w:szCs w:val="32"/>
          <w:rtl/>
          <w:lang w:bidi="ar-DZ"/>
        </w:rPr>
        <w:t>.</w:t>
      </w:r>
      <w:r w:rsidR="008F1ECF">
        <w:rPr>
          <w:rFonts w:ascii="Traditional Arabic" w:hAnsi="Traditional Arabic" w:cs="Traditional Arabic" w:hint="cs"/>
          <w:sz w:val="32"/>
          <w:szCs w:val="32"/>
          <w:rtl/>
          <w:lang w:bidi="ar-DZ"/>
        </w:rPr>
        <w:t xml:space="preserve"> </w:t>
      </w:r>
      <w:r w:rsidR="00046A1A">
        <w:rPr>
          <w:rFonts w:ascii="Traditional Arabic" w:hAnsi="Traditional Arabic" w:cs="Traditional Arabic" w:hint="cs"/>
          <w:sz w:val="32"/>
          <w:szCs w:val="32"/>
          <w:rtl/>
          <w:lang w:bidi="ar-DZ"/>
        </w:rPr>
        <w:t>ولا</w:t>
      </w:r>
      <w:r w:rsidR="008F1ECF">
        <w:rPr>
          <w:rFonts w:ascii="Traditional Arabic" w:hAnsi="Traditional Arabic" w:cs="Traditional Arabic" w:hint="cs"/>
          <w:sz w:val="32"/>
          <w:szCs w:val="32"/>
          <w:rtl/>
          <w:lang w:bidi="ar-DZ"/>
        </w:rPr>
        <w:t xml:space="preserve"> يمنع إلغاء عمليات التفتيش على إقرار</w:t>
      </w:r>
      <w:r w:rsidR="00046A1A">
        <w:rPr>
          <w:rFonts w:ascii="Traditional Arabic" w:hAnsi="Traditional Arabic" w:cs="Traditional Arabic" w:hint="cs"/>
          <w:sz w:val="32"/>
          <w:szCs w:val="32"/>
          <w:rtl/>
          <w:lang w:bidi="ar-DZ"/>
        </w:rPr>
        <w:t xml:space="preserve"> إعادة</w:t>
      </w:r>
      <w:r w:rsidR="008F1ECF">
        <w:rPr>
          <w:rFonts w:ascii="Traditional Arabic" w:hAnsi="Traditional Arabic" w:cs="Traditional Arabic" w:hint="cs"/>
          <w:sz w:val="32"/>
          <w:szCs w:val="32"/>
          <w:rtl/>
          <w:lang w:bidi="ar-DZ"/>
        </w:rPr>
        <w:t xml:space="preserve"> تقويم على المكلفين بالضريبة غير المعنيين بحق الزيارة.</w:t>
      </w:r>
      <w:r w:rsidR="00046A1A">
        <w:rPr>
          <w:rFonts w:ascii="Traditional Arabic" w:hAnsi="Traditional Arabic" w:cs="Traditional Arabic" w:hint="cs"/>
          <w:sz w:val="32"/>
          <w:szCs w:val="32"/>
          <w:rtl/>
          <w:lang w:bidi="ar-DZ"/>
        </w:rPr>
        <w:t xml:space="preserve"> سوف نفصل ذلك من خلال تقسيم الرقابة القضائية إلى قسمين وهما:</w:t>
      </w:r>
    </w:p>
    <w:p w14:paraId="0D5DB436" w14:textId="7ACC0011" w:rsidR="00046A1A" w:rsidRDefault="00046A1A" w:rsidP="00046A1A">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1 </w:t>
      </w:r>
      <w:r>
        <w:rPr>
          <w:rFonts w:ascii="Traditional Arabic" w:hAnsi="Traditional Arabic" w:cs="Traditional Arabic"/>
          <w:sz w:val="32"/>
          <w:szCs w:val="32"/>
          <w:rtl/>
          <w:lang w:bidi="ar-DZ"/>
        </w:rPr>
        <w:t>–</w:t>
      </w:r>
      <w:r w:rsidR="00417B36">
        <w:rPr>
          <w:rFonts w:ascii="Traditional Arabic" w:hAnsi="Traditional Arabic" w:cs="Traditional Arabic" w:hint="cs"/>
          <w:sz w:val="32"/>
          <w:szCs w:val="32"/>
          <w:rtl/>
          <w:lang w:bidi="ar-DZ"/>
        </w:rPr>
        <w:t>رقابة مشروعية الأوامر المرخصة بالزيارة.</w:t>
      </w:r>
    </w:p>
    <w:p w14:paraId="13D0CA67" w14:textId="41933AFE" w:rsidR="00046A1A" w:rsidRDefault="00046A1A" w:rsidP="00046A1A">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2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r w:rsidR="00417B36">
        <w:rPr>
          <w:rFonts w:ascii="Traditional Arabic" w:hAnsi="Traditional Arabic" w:cs="Traditional Arabic" w:hint="cs"/>
          <w:sz w:val="32"/>
          <w:szCs w:val="32"/>
          <w:rtl/>
          <w:lang w:bidi="ar-DZ"/>
        </w:rPr>
        <w:t>رقابة صحة العمليات الخاصة بالزيارة من قبل القاضي.</w:t>
      </w:r>
    </w:p>
    <w:p w14:paraId="484AFA9D" w14:textId="08709541" w:rsidR="00417B36" w:rsidRDefault="00417B36" w:rsidP="00417B36">
      <w:pPr>
        <w:bidi/>
        <w:ind w:firstLine="567"/>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أولا: رقابة المشروعية</w:t>
      </w:r>
    </w:p>
    <w:p w14:paraId="7437B6B4" w14:textId="694E03AE" w:rsidR="0045047E" w:rsidRPr="00417B36" w:rsidRDefault="00417B36" w:rsidP="0045047E">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يقدم الطلب من طرف مسؤول الإدارة الجبائية المؤهل قانونا </w:t>
      </w:r>
      <w:r w:rsidR="00283775">
        <w:rPr>
          <w:rFonts w:ascii="Traditional Arabic" w:hAnsi="Traditional Arabic" w:cs="Traditional Arabic" w:hint="cs"/>
          <w:sz w:val="32"/>
          <w:szCs w:val="32"/>
          <w:rtl/>
          <w:lang w:bidi="ar-DZ"/>
        </w:rPr>
        <w:t>وهو</w:t>
      </w:r>
      <w:r>
        <w:rPr>
          <w:rFonts w:ascii="Traditional Arabic" w:hAnsi="Traditional Arabic" w:cs="Traditional Arabic" w:hint="cs"/>
          <w:sz w:val="32"/>
          <w:szCs w:val="32"/>
          <w:rtl/>
          <w:lang w:bidi="ar-DZ"/>
        </w:rPr>
        <w:t xml:space="preserve"> مدير الضرائب الولائي. </w:t>
      </w:r>
      <w:r w:rsidR="00283775">
        <w:rPr>
          <w:rFonts w:ascii="Traditional Arabic" w:hAnsi="Traditional Arabic" w:cs="Traditional Arabic" w:hint="cs"/>
          <w:sz w:val="32"/>
          <w:szCs w:val="32"/>
          <w:rtl/>
          <w:lang w:bidi="ar-DZ"/>
        </w:rPr>
        <w:t>ويجب</w:t>
      </w:r>
      <w:r>
        <w:rPr>
          <w:rFonts w:ascii="Traditional Arabic" w:hAnsi="Traditional Arabic" w:cs="Traditional Arabic" w:hint="cs"/>
          <w:sz w:val="32"/>
          <w:szCs w:val="32"/>
          <w:rtl/>
          <w:lang w:bidi="ar-DZ"/>
        </w:rPr>
        <w:t xml:space="preserve"> أن يكون الطلب مؤسس </w:t>
      </w:r>
      <w:r w:rsidR="00283775">
        <w:rPr>
          <w:rFonts w:ascii="Traditional Arabic" w:hAnsi="Traditional Arabic" w:cs="Traditional Arabic" w:hint="cs"/>
          <w:sz w:val="32"/>
          <w:szCs w:val="32"/>
          <w:rtl/>
          <w:lang w:bidi="ar-DZ"/>
        </w:rPr>
        <w:t>ويتضمن</w:t>
      </w:r>
      <w:r>
        <w:rPr>
          <w:rFonts w:ascii="Traditional Arabic" w:hAnsi="Traditional Arabic" w:cs="Traditional Arabic" w:hint="cs"/>
          <w:sz w:val="32"/>
          <w:szCs w:val="32"/>
          <w:rtl/>
          <w:lang w:bidi="ar-DZ"/>
        </w:rPr>
        <w:t xml:space="preserve"> كل عناصر المعلومات التي في حوزة الإدارة </w:t>
      </w:r>
      <w:r w:rsidR="00283775">
        <w:rPr>
          <w:rFonts w:ascii="Traditional Arabic" w:hAnsi="Traditional Arabic" w:cs="Traditional Arabic" w:hint="cs"/>
          <w:sz w:val="32"/>
          <w:szCs w:val="32"/>
          <w:rtl/>
          <w:lang w:bidi="ar-DZ"/>
        </w:rPr>
        <w:t>والتي</w:t>
      </w:r>
      <w:r>
        <w:rPr>
          <w:rFonts w:ascii="Traditional Arabic" w:hAnsi="Traditional Arabic" w:cs="Traditional Arabic" w:hint="cs"/>
          <w:sz w:val="32"/>
          <w:szCs w:val="32"/>
          <w:rtl/>
          <w:lang w:bidi="ar-DZ"/>
        </w:rPr>
        <w:t xml:space="preserve"> من طبيعتها تبرير الزيارة. ومن جهة ثانية، فإن القاضي</w:t>
      </w:r>
      <w:r>
        <w:rPr>
          <w:rStyle w:val="Appelnotedebasdep"/>
          <w:rFonts w:ascii="Traditional Arabic" w:hAnsi="Traditional Arabic" w:cs="Traditional Arabic"/>
          <w:sz w:val="32"/>
          <w:szCs w:val="32"/>
          <w:rtl/>
          <w:lang w:bidi="ar-DZ"/>
        </w:rPr>
        <w:footnoteReference w:id="6"/>
      </w:r>
      <w:r>
        <w:rPr>
          <w:rFonts w:ascii="Traditional Arabic" w:hAnsi="Traditional Arabic" w:cs="Traditional Arabic" w:hint="cs"/>
          <w:sz w:val="32"/>
          <w:szCs w:val="32"/>
          <w:rtl/>
          <w:lang w:bidi="ar-DZ"/>
        </w:rPr>
        <w:t xml:space="preserve"> يراعي الظاهر في وثائق الملف </w:t>
      </w:r>
      <w:r w:rsidR="0045047E">
        <w:rPr>
          <w:rFonts w:ascii="Traditional Arabic" w:hAnsi="Traditional Arabic" w:cs="Traditional Arabic" w:hint="cs"/>
          <w:sz w:val="32"/>
          <w:szCs w:val="32"/>
          <w:rtl/>
          <w:lang w:bidi="ar-DZ"/>
        </w:rPr>
        <w:t>وليس</w:t>
      </w:r>
      <w:r>
        <w:rPr>
          <w:rFonts w:ascii="Traditional Arabic" w:hAnsi="Traditional Arabic" w:cs="Traditional Arabic" w:hint="cs"/>
          <w:sz w:val="32"/>
          <w:szCs w:val="32"/>
          <w:rtl/>
          <w:lang w:bidi="ar-DZ"/>
        </w:rPr>
        <w:t xml:space="preserve"> محتواها، حتى يمنح الرخصة.</w:t>
      </w:r>
      <w:r w:rsidR="0045047E">
        <w:rPr>
          <w:rFonts w:ascii="Traditional Arabic" w:hAnsi="Traditional Arabic" w:cs="Traditional Arabic" w:hint="cs"/>
          <w:sz w:val="32"/>
          <w:szCs w:val="32"/>
          <w:rtl/>
          <w:lang w:bidi="ar-DZ"/>
        </w:rPr>
        <w:t xml:space="preserve"> ولكن، عليه أن يتأكد أن العناصر المقدمة تبرر فعلا اتخاذه للأمر. لا يجب عليه أن يقدم في أمر مجرد مزاعم عامة أو إشارة فقط إلى الطلب المقدم من الإدارة.</w:t>
      </w:r>
    </w:p>
    <w:p w14:paraId="3E9220F8" w14:textId="562711C8" w:rsidR="00046A1A" w:rsidRDefault="0045047E" w:rsidP="00046A1A">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لم يقرر المشرع الجزائري أي وسيلة للطعن ضد قرار الرخصة</w:t>
      </w:r>
      <w:r>
        <w:rPr>
          <w:rStyle w:val="Appelnotedebasdep"/>
          <w:rFonts w:ascii="Traditional Arabic" w:hAnsi="Traditional Arabic" w:cs="Traditional Arabic"/>
          <w:sz w:val="32"/>
          <w:szCs w:val="32"/>
          <w:rtl/>
          <w:lang w:bidi="ar-DZ"/>
        </w:rPr>
        <w:footnoteReference w:id="7"/>
      </w:r>
      <w:r>
        <w:rPr>
          <w:rFonts w:ascii="Traditional Arabic" w:hAnsi="Traditional Arabic" w:cs="Traditional Arabic" w:hint="cs"/>
          <w:sz w:val="32"/>
          <w:szCs w:val="32"/>
          <w:rtl/>
          <w:lang w:bidi="ar-DZ"/>
        </w:rPr>
        <w:t>، بينما نجد ذلك في القانون الفرنسي</w:t>
      </w:r>
      <w:r w:rsidR="006C17F0">
        <w:rPr>
          <w:rFonts w:ascii="Traditional Arabic" w:hAnsi="Traditional Arabic" w:cs="Traditional Arabic" w:hint="cs"/>
          <w:sz w:val="32"/>
          <w:szCs w:val="32"/>
          <w:rtl/>
          <w:lang w:bidi="ar-DZ"/>
        </w:rPr>
        <w:t xml:space="preserve">. في النظام الجبائي الفرنسي، أقر المشرع الفرنسي في المادة </w:t>
      </w:r>
      <w:r w:rsidR="006C17F0">
        <w:rPr>
          <w:rFonts w:ascii="Traditional Arabic" w:hAnsi="Traditional Arabic" w:cs="Traditional Arabic"/>
          <w:sz w:val="32"/>
          <w:szCs w:val="32"/>
          <w:lang w:bidi="ar-DZ"/>
        </w:rPr>
        <w:t>L 16B</w:t>
      </w:r>
      <w:r>
        <w:rPr>
          <w:rFonts w:ascii="Traditional Arabic" w:hAnsi="Traditional Arabic" w:cs="Traditional Arabic" w:hint="cs"/>
          <w:sz w:val="32"/>
          <w:szCs w:val="32"/>
          <w:rtl/>
          <w:lang w:bidi="ar-DZ"/>
        </w:rPr>
        <w:t xml:space="preserve"> </w:t>
      </w:r>
      <w:r w:rsidR="006C17F0">
        <w:rPr>
          <w:rFonts w:ascii="Traditional Arabic" w:hAnsi="Traditional Arabic" w:cs="Traditional Arabic" w:hint="cs"/>
          <w:sz w:val="32"/>
          <w:szCs w:val="32"/>
          <w:rtl/>
          <w:lang w:bidi="ar-DZ"/>
        </w:rPr>
        <w:t xml:space="preserve">الطعن بالنقض (غير موقف للتنفيذ) </w:t>
      </w:r>
      <w:r w:rsidR="00974CC9">
        <w:rPr>
          <w:rFonts w:ascii="Traditional Arabic" w:hAnsi="Traditional Arabic" w:cs="Traditional Arabic" w:hint="cs"/>
          <w:sz w:val="32"/>
          <w:szCs w:val="32"/>
          <w:rtl/>
          <w:lang w:bidi="ar-DZ"/>
        </w:rPr>
        <w:t>وهو</w:t>
      </w:r>
      <w:r w:rsidR="006C17F0">
        <w:rPr>
          <w:rFonts w:ascii="Traditional Arabic" w:hAnsi="Traditional Arabic" w:cs="Traditional Arabic" w:hint="cs"/>
          <w:sz w:val="32"/>
          <w:szCs w:val="32"/>
          <w:rtl/>
          <w:lang w:bidi="ar-DZ"/>
        </w:rPr>
        <w:t xml:space="preserve"> خروج عما هو مألوف في الطعن ضد الأوامر على ذيل العرائض في قانون الإجراءات المدنية</w:t>
      </w:r>
      <w:r w:rsidR="00974CC9">
        <w:rPr>
          <w:rFonts w:ascii="Traditional Arabic" w:hAnsi="Traditional Arabic" w:cs="Traditional Arabic" w:hint="cs"/>
          <w:sz w:val="32"/>
          <w:szCs w:val="32"/>
          <w:rtl/>
          <w:lang w:bidi="ar-DZ"/>
        </w:rPr>
        <w:t xml:space="preserve"> وخروج كذلك عما هو منصوص عليه في قانون الإجراءات الجزائية في موضوع أوامر التفتيش التي تنفذها الضبطية القضائية.</w:t>
      </w:r>
    </w:p>
    <w:p w14:paraId="5BEB6508" w14:textId="159BD432" w:rsidR="00974CC9" w:rsidRDefault="00974CC9" w:rsidP="00974CC9">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نتيجة إلغاء أمر التفتيش من قبل محكمة النقض الفرنسية</w:t>
      </w:r>
      <w:r>
        <w:rPr>
          <w:rFonts w:ascii="Traditional Arabic" w:hAnsi="Traditional Arabic" w:cs="Traditional Arabic" w:hint="cs"/>
          <w:sz w:val="32"/>
          <w:szCs w:val="32"/>
          <w:rtl/>
          <w:lang w:bidi="ar-DZ"/>
        </w:rPr>
        <w:t xml:space="preserve"> </w:t>
      </w:r>
    </w:p>
    <w:p w14:paraId="16282E26" w14:textId="7E6C09F5" w:rsidR="00974CC9" w:rsidRDefault="00974CC9" w:rsidP="00974CC9">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يؤدي الإلغاء الذي يمس </w:t>
      </w:r>
      <w:r w:rsidRPr="00974CC9">
        <w:rPr>
          <w:rFonts w:ascii="Traditional Arabic" w:hAnsi="Traditional Arabic" w:cs="Traditional Arabic" w:hint="cs"/>
          <w:sz w:val="32"/>
          <w:szCs w:val="32"/>
          <w:rtl/>
          <w:lang w:bidi="ar-DZ"/>
        </w:rPr>
        <w:t>رخص التفتيش</w:t>
      </w:r>
      <w:r>
        <w:rPr>
          <w:rFonts w:ascii="Traditional Arabic" w:hAnsi="Traditional Arabic" w:cs="Traditional Arabic" w:hint="cs"/>
          <w:sz w:val="32"/>
          <w:szCs w:val="32"/>
          <w:rtl/>
          <w:lang w:bidi="ar-DZ"/>
        </w:rPr>
        <w:t xml:space="preserve"> إلى عدم صحة إجراء فرض الضريبة الذي جاء نتيجة لهذا التفتيش. </w:t>
      </w:r>
      <w:r w:rsidR="009F3424">
        <w:rPr>
          <w:rFonts w:ascii="Traditional Arabic" w:hAnsi="Traditional Arabic" w:cs="Traditional Arabic" w:hint="cs"/>
          <w:sz w:val="32"/>
          <w:szCs w:val="32"/>
          <w:rtl/>
          <w:lang w:bidi="ar-DZ"/>
        </w:rPr>
        <w:t>ولكنه</w:t>
      </w:r>
      <w:r>
        <w:rPr>
          <w:rFonts w:ascii="Traditional Arabic" w:hAnsi="Traditional Arabic" w:cs="Traditional Arabic" w:hint="cs"/>
          <w:sz w:val="32"/>
          <w:szCs w:val="32"/>
          <w:rtl/>
          <w:lang w:bidi="ar-DZ"/>
        </w:rPr>
        <w:t>، لا أثر له على إجراء فرض الضريبة إذا قامت</w:t>
      </w:r>
      <w:r w:rsidR="009F3424">
        <w:rPr>
          <w:rFonts w:ascii="Traditional Arabic" w:hAnsi="Traditional Arabic" w:cs="Traditional Arabic" w:hint="cs"/>
          <w:sz w:val="32"/>
          <w:szCs w:val="32"/>
          <w:rtl/>
          <w:lang w:bidi="ar-DZ"/>
        </w:rPr>
        <w:t xml:space="preserve"> الإدارة فيه باستغلال معلومات أخرى تحصلت عليها من إجراء آخر كحق الاطلاع مثلا لإجراء فرض الضريبة بشرط أن تكون المعلومات قد وصلت إلى علم الإدارة قبل قيامها بالتفتيش.</w:t>
      </w:r>
    </w:p>
    <w:p w14:paraId="6567AB68" w14:textId="6B63B314" w:rsidR="009F3424" w:rsidRDefault="009F3424" w:rsidP="009F3424">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كما تجدر الإشارة إلى أنه لا أثر لإلغاء الأمر بالتفتيش على إجراء فرض الضريبة ضد مكلف آخر غير المعني بالتفتيش، إلا إذا كان هناك نية للبحث كذلك في وضعية هذا الأخير</w:t>
      </w:r>
      <w:r w:rsidR="004F7EA8">
        <w:rPr>
          <w:rStyle w:val="Appelnotedebasdep"/>
          <w:rFonts w:ascii="Traditional Arabic" w:hAnsi="Traditional Arabic" w:cs="Traditional Arabic"/>
          <w:sz w:val="32"/>
          <w:szCs w:val="32"/>
          <w:rtl/>
          <w:lang w:bidi="ar-DZ"/>
        </w:rPr>
        <w:footnoteReference w:id="8"/>
      </w:r>
      <w:r>
        <w:rPr>
          <w:rFonts w:ascii="Traditional Arabic" w:hAnsi="Traditional Arabic" w:cs="Traditional Arabic" w:hint="cs"/>
          <w:sz w:val="32"/>
          <w:szCs w:val="32"/>
          <w:rtl/>
          <w:lang w:bidi="ar-DZ"/>
        </w:rPr>
        <w:t>.</w:t>
      </w:r>
    </w:p>
    <w:p w14:paraId="6ADA0172" w14:textId="0739C371" w:rsidR="004F7EA8" w:rsidRDefault="004F7EA8" w:rsidP="004F7EA8">
      <w:pPr>
        <w:bidi/>
        <w:ind w:firstLine="567"/>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ثانيا: رقابة صحة العمليات</w:t>
      </w:r>
    </w:p>
    <w:p w14:paraId="4E0B6EE3" w14:textId="17B97D36" w:rsidR="004F7EA8" w:rsidRPr="004F7EA8" w:rsidRDefault="004F7EA8" w:rsidP="004F7EA8">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تتم رقابة عمليات التفتيش من قبل القاضي الذي رخص بها، ولكن مهمته تنتهي عند إبلاغ محضر الجرد إلى شاغل الأمكنة ولا يمكن التنازع لديه فيما بعد من أجل الطعن في صحة العمليات. الاختصاص يعود بعد ذلك إلى الجهة القضائية</w:t>
      </w:r>
      <w:r w:rsidR="007B13E0">
        <w:rPr>
          <w:rFonts w:ascii="Traditional Arabic" w:hAnsi="Traditional Arabic" w:cs="Traditional Arabic" w:hint="cs"/>
          <w:sz w:val="32"/>
          <w:szCs w:val="32"/>
          <w:rtl/>
          <w:lang w:bidi="ar-DZ"/>
        </w:rPr>
        <w:t xml:space="preserve"> الإدارية</w:t>
      </w:r>
      <w:r>
        <w:rPr>
          <w:rFonts w:ascii="Traditional Arabic" w:hAnsi="Traditional Arabic" w:cs="Traditional Arabic" w:hint="cs"/>
          <w:sz w:val="32"/>
          <w:szCs w:val="32"/>
          <w:rtl/>
          <w:lang w:bidi="ar-DZ"/>
        </w:rPr>
        <w:t xml:space="preserve"> الفاصلة في الموضوع</w:t>
      </w:r>
      <w:r w:rsidR="007B13E0">
        <w:rPr>
          <w:rStyle w:val="Appelnotedebasdep"/>
          <w:rFonts w:ascii="Traditional Arabic" w:hAnsi="Traditional Arabic" w:cs="Traditional Arabic"/>
          <w:sz w:val="32"/>
          <w:szCs w:val="32"/>
          <w:rtl/>
          <w:lang w:bidi="ar-DZ"/>
        </w:rPr>
        <w:footnoteReference w:id="9"/>
      </w:r>
      <w:r>
        <w:rPr>
          <w:rFonts w:ascii="Traditional Arabic" w:hAnsi="Traditional Arabic" w:cs="Traditional Arabic" w:hint="cs"/>
          <w:sz w:val="32"/>
          <w:szCs w:val="32"/>
          <w:rtl/>
          <w:lang w:bidi="ar-DZ"/>
        </w:rPr>
        <w:t>.</w:t>
      </w:r>
      <w:bookmarkEnd w:id="0"/>
    </w:p>
    <w:sectPr w:rsidR="004F7EA8" w:rsidRPr="004F7E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DA38" w14:textId="77777777" w:rsidR="00216500" w:rsidRDefault="00216500" w:rsidP="006636D2">
      <w:pPr>
        <w:spacing w:after="0" w:line="240" w:lineRule="auto"/>
      </w:pPr>
      <w:r>
        <w:separator/>
      </w:r>
    </w:p>
  </w:endnote>
  <w:endnote w:type="continuationSeparator" w:id="0">
    <w:p w14:paraId="2DA8C7C7" w14:textId="77777777" w:rsidR="00216500" w:rsidRDefault="00216500" w:rsidP="0066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jawal Black">
    <w:panose1 w:val="00000500000000000000"/>
    <w:charset w:val="00"/>
    <w:family w:val="auto"/>
    <w:pitch w:val="variable"/>
    <w:sig w:usb0="8000202F" w:usb1="90002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0F99" w14:textId="77777777" w:rsidR="00216500" w:rsidRDefault="00216500" w:rsidP="006636D2">
      <w:pPr>
        <w:spacing w:after="0" w:line="240" w:lineRule="auto"/>
      </w:pPr>
      <w:r>
        <w:separator/>
      </w:r>
    </w:p>
  </w:footnote>
  <w:footnote w:type="continuationSeparator" w:id="0">
    <w:p w14:paraId="0B82D7A8" w14:textId="77777777" w:rsidR="00216500" w:rsidRDefault="00216500" w:rsidP="006636D2">
      <w:pPr>
        <w:spacing w:after="0" w:line="240" w:lineRule="auto"/>
      </w:pPr>
      <w:r>
        <w:continuationSeparator/>
      </w:r>
    </w:p>
  </w:footnote>
  <w:footnote w:id="1">
    <w:p w14:paraId="24049E88" w14:textId="280F3CB6" w:rsidR="006636D2" w:rsidRDefault="006636D2" w:rsidP="004F19E9">
      <w:pPr>
        <w:pStyle w:val="Notedebasdepage"/>
        <w:bidi/>
        <w:jc w:val="both"/>
        <w:rPr>
          <w:rtl/>
          <w:lang w:bidi="ar-DZ"/>
        </w:rPr>
      </w:pPr>
      <w:r>
        <w:rPr>
          <w:rStyle w:val="Appelnotedebasdep"/>
        </w:rPr>
        <w:footnoteRef/>
      </w:r>
      <w:r>
        <w:t xml:space="preserve"> </w:t>
      </w:r>
      <w:r>
        <w:rPr>
          <w:rFonts w:hint="cs"/>
          <w:rtl/>
          <w:lang w:bidi="ar-DZ"/>
        </w:rPr>
        <w:t xml:space="preserve"> - مصطلح </w:t>
      </w:r>
      <w:r w:rsidRPr="004F19E9">
        <w:rPr>
          <w:rFonts w:hint="cs"/>
          <w:b/>
          <w:bCs/>
          <w:rtl/>
          <w:lang w:bidi="ar-DZ"/>
        </w:rPr>
        <w:t xml:space="preserve">الزيارة </w:t>
      </w:r>
      <w:r>
        <w:rPr>
          <w:rFonts w:hint="cs"/>
          <w:rtl/>
          <w:lang w:bidi="ar-DZ"/>
        </w:rPr>
        <w:t xml:space="preserve">هو ترجمة حرفية لمصطلح </w:t>
      </w:r>
      <w:r w:rsidRPr="004F19E9">
        <w:rPr>
          <w:b/>
          <w:bCs/>
          <w:lang w:bidi="ar-DZ"/>
        </w:rPr>
        <w:t>visite</w:t>
      </w:r>
      <w:r>
        <w:rPr>
          <w:rFonts w:hint="cs"/>
          <w:rtl/>
          <w:lang w:bidi="ar-DZ"/>
        </w:rPr>
        <w:t xml:space="preserve"> المستخدم من قبل المشرع الجزائري</w:t>
      </w:r>
      <w:r w:rsidR="004F19E9">
        <w:rPr>
          <w:rFonts w:hint="cs"/>
          <w:rtl/>
          <w:lang w:bidi="ar-DZ"/>
        </w:rPr>
        <w:t>،</w:t>
      </w:r>
      <w:r>
        <w:rPr>
          <w:rFonts w:hint="cs"/>
          <w:rtl/>
          <w:lang w:bidi="ar-DZ"/>
        </w:rPr>
        <w:t xml:space="preserve"> في تسمية هذا الإجراء باللغة الفرنسية. أصل كلمة </w:t>
      </w:r>
      <w:r w:rsidRPr="004F19E9">
        <w:rPr>
          <w:b/>
          <w:bCs/>
          <w:lang w:bidi="ar-DZ"/>
        </w:rPr>
        <w:t>visite</w:t>
      </w:r>
      <w:r>
        <w:rPr>
          <w:rFonts w:hint="cs"/>
          <w:rtl/>
          <w:lang w:bidi="ar-DZ"/>
        </w:rPr>
        <w:t xml:space="preserve"> تعود إلى القانون الفرنسي في المادة </w:t>
      </w:r>
      <w:r w:rsidRPr="004F19E9">
        <w:rPr>
          <w:b/>
          <w:bCs/>
          <w:lang w:bidi="ar-DZ"/>
        </w:rPr>
        <w:t>L16</w:t>
      </w:r>
      <w:r>
        <w:rPr>
          <w:rFonts w:hint="cs"/>
          <w:rtl/>
          <w:lang w:bidi="ar-DZ"/>
        </w:rPr>
        <w:t xml:space="preserve"> من كتاب الإجراءات الجبائية الفرنسي</w:t>
      </w:r>
      <w:r w:rsidR="004F19E9">
        <w:rPr>
          <w:rFonts w:hint="cs"/>
          <w:rtl/>
          <w:lang w:bidi="ar-DZ"/>
        </w:rPr>
        <w:t xml:space="preserve"> و التي أطلقها على التفتيش للأمكنة المهنية و الخاصة من قبل الإدارة الجبائية. </w:t>
      </w:r>
      <w:proofErr w:type="gramStart"/>
      <w:r w:rsidR="004F19E9">
        <w:rPr>
          <w:rFonts w:hint="cs"/>
          <w:rtl/>
          <w:lang w:bidi="ar-DZ"/>
        </w:rPr>
        <w:t>و لكن</w:t>
      </w:r>
      <w:proofErr w:type="gramEnd"/>
      <w:r w:rsidR="004F19E9">
        <w:rPr>
          <w:rFonts w:hint="cs"/>
          <w:rtl/>
          <w:lang w:bidi="ar-DZ"/>
        </w:rPr>
        <w:t xml:space="preserve"> المشرع الفرنسي أضاف للتسمية عبارة أخرى للمزيد من التوضيح و الشفافية و هي "</w:t>
      </w:r>
      <w:r w:rsidR="004F19E9" w:rsidRPr="004F19E9">
        <w:rPr>
          <w:b/>
          <w:bCs/>
          <w:lang w:bidi="ar-DZ"/>
        </w:rPr>
        <w:t>Droit de visite et de</w:t>
      </w:r>
      <w:r w:rsidR="004F19E9">
        <w:rPr>
          <w:lang w:bidi="ar-DZ"/>
        </w:rPr>
        <w:t xml:space="preserve"> </w:t>
      </w:r>
      <w:r w:rsidR="004F19E9" w:rsidRPr="004F19E9">
        <w:rPr>
          <w:b/>
          <w:bCs/>
          <w:lang w:bidi="ar-DZ"/>
        </w:rPr>
        <w:t>saisie</w:t>
      </w:r>
      <w:r w:rsidR="004F19E9">
        <w:rPr>
          <w:rFonts w:hint="cs"/>
          <w:rtl/>
          <w:lang w:bidi="ar-DZ"/>
        </w:rPr>
        <w:t>".  المشرع الجزائري اكتفى فقط بمصطلح "</w:t>
      </w:r>
      <w:r w:rsidR="004F19E9" w:rsidRPr="004F19E9">
        <w:rPr>
          <w:b/>
          <w:bCs/>
          <w:lang w:bidi="ar-DZ"/>
        </w:rPr>
        <w:t>Visite</w:t>
      </w:r>
      <w:r w:rsidR="004F19E9">
        <w:rPr>
          <w:rFonts w:hint="cs"/>
          <w:rtl/>
          <w:lang w:bidi="ar-DZ"/>
        </w:rPr>
        <w:t xml:space="preserve">" </w:t>
      </w:r>
      <w:r w:rsidR="00AE256C">
        <w:rPr>
          <w:rFonts w:hint="cs"/>
          <w:rtl/>
          <w:lang w:bidi="ar-DZ"/>
        </w:rPr>
        <w:t>وترجمه</w:t>
      </w:r>
      <w:r w:rsidR="004F19E9">
        <w:rPr>
          <w:rFonts w:hint="cs"/>
          <w:rtl/>
          <w:lang w:bidi="ar-DZ"/>
        </w:rPr>
        <w:t xml:space="preserve"> بالعربية بمصطلح "</w:t>
      </w:r>
      <w:r w:rsidR="004F19E9" w:rsidRPr="004F19E9">
        <w:rPr>
          <w:rFonts w:hint="cs"/>
          <w:b/>
          <w:bCs/>
          <w:rtl/>
          <w:lang w:bidi="ar-DZ"/>
        </w:rPr>
        <w:t>معاينة</w:t>
      </w:r>
      <w:r w:rsidR="004F19E9">
        <w:rPr>
          <w:rFonts w:hint="cs"/>
          <w:rtl/>
          <w:lang w:bidi="ar-DZ"/>
        </w:rPr>
        <w:t>". و هي ترجمة خاطئة لا تفيد المعنى الحقيقي للإجراء، حيث أن هذا الإجراء هو عملية تفتيش حقيقية للأمكنة مهما كانت طبيعتها و تؤدي في النهاية إلى حجز الوثائق و السلع و ليست مجرد معاينة للأمكنة تنتهي بتحرير محضر معاينة فقط.</w:t>
      </w:r>
    </w:p>
  </w:footnote>
  <w:footnote w:id="2">
    <w:p w14:paraId="604299E7" w14:textId="77777777" w:rsidR="00076518" w:rsidRDefault="00076518" w:rsidP="001135EF">
      <w:pPr>
        <w:pStyle w:val="Notedebasdepage"/>
        <w:bidi/>
        <w:jc w:val="both"/>
        <w:rPr>
          <w:rtl/>
        </w:rPr>
      </w:pPr>
      <w:r>
        <w:rPr>
          <w:rStyle w:val="Appelnotedebasdep"/>
        </w:rPr>
        <w:footnoteRef/>
      </w:r>
      <w:r>
        <w:t xml:space="preserve"> </w:t>
      </w:r>
      <w:r>
        <w:rPr>
          <w:rFonts w:hint="cs"/>
          <w:rtl/>
          <w:lang w:bidi="ar-DZ"/>
        </w:rPr>
        <w:t xml:space="preserve"> - المادة 35 من ق إ ج " </w:t>
      </w:r>
      <w:r w:rsidRPr="001135EF">
        <w:rPr>
          <w:i/>
          <w:iCs/>
          <w:rtl/>
        </w:rPr>
        <w:t>لا</w:t>
      </w:r>
      <w:r w:rsidRPr="001135EF">
        <w:rPr>
          <w:i/>
          <w:iCs/>
          <w:lang w:bidi="ar-DZ"/>
        </w:rPr>
        <w:t xml:space="preserve"> </w:t>
      </w:r>
      <w:r w:rsidR="001135EF" w:rsidRPr="001135EF">
        <w:rPr>
          <w:rFonts w:hint="cs"/>
          <w:i/>
          <w:iCs/>
          <w:rtl/>
          <w:lang w:bidi="ar-DZ"/>
        </w:rPr>
        <w:t>يمك</w:t>
      </w:r>
      <w:r w:rsidRPr="001135EF">
        <w:rPr>
          <w:i/>
          <w:iCs/>
          <w:rtl/>
        </w:rPr>
        <w:t>ن</w:t>
      </w:r>
      <w:r w:rsidRPr="001135EF">
        <w:rPr>
          <w:i/>
          <w:iCs/>
          <w:lang w:bidi="ar-DZ"/>
        </w:rPr>
        <w:t xml:space="preserve"> </w:t>
      </w:r>
      <w:r w:rsidRPr="001135EF">
        <w:rPr>
          <w:i/>
          <w:iCs/>
          <w:rtl/>
        </w:rPr>
        <w:t>الترخ</w:t>
      </w:r>
      <w:r w:rsidRPr="001135EF">
        <w:rPr>
          <w:rFonts w:hint="cs"/>
          <w:i/>
          <w:iCs/>
          <w:rtl/>
        </w:rPr>
        <w:t>ي</w:t>
      </w:r>
      <w:r w:rsidRPr="001135EF">
        <w:rPr>
          <w:i/>
          <w:iCs/>
          <w:rtl/>
        </w:rPr>
        <w:t>ص</w:t>
      </w:r>
      <w:r w:rsidRPr="001135EF">
        <w:rPr>
          <w:i/>
          <w:iCs/>
          <w:lang w:bidi="ar-DZ"/>
        </w:rPr>
        <w:t xml:space="preserve"> </w:t>
      </w:r>
      <w:r w:rsidRPr="001135EF">
        <w:rPr>
          <w:i/>
          <w:iCs/>
          <w:rtl/>
        </w:rPr>
        <w:t>بإجراء</w:t>
      </w:r>
      <w:r w:rsidRPr="001135EF">
        <w:rPr>
          <w:i/>
          <w:iCs/>
          <w:lang w:bidi="ar-DZ"/>
        </w:rPr>
        <w:t xml:space="preserve"> </w:t>
      </w:r>
      <w:r w:rsidRPr="001135EF">
        <w:rPr>
          <w:i/>
          <w:iCs/>
          <w:rtl/>
        </w:rPr>
        <w:t>حق</w:t>
      </w:r>
      <w:r w:rsidRPr="001135EF">
        <w:rPr>
          <w:i/>
          <w:iCs/>
          <w:lang w:bidi="ar-DZ"/>
        </w:rPr>
        <w:t xml:space="preserve"> </w:t>
      </w:r>
      <w:r w:rsidRPr="001135EF">
        <w:rPr>
          <w:i/>
          <w:iCs/>
          <w:rtl/>
        </w:rPr>
        <w:t>المعا</w:t>
      </w:r>
      <w:r w:rsidRPr="001135EF">
        <w:rPr>
          <w:rFonts w:hint="cs"/>
          <w:i/>
          <w:iCs/>
          <w:rtl/>
        </w:rPr>
        <w:t>ي</w:t>
      </w:r>
      <w:r w:rsidRPr="001135EF">
        <w:rPr>
          <w:i/>
          <w:iCs/>
          <w:rtl/>
        </w:rPr>
        <w:t>نة</w:t>
      </w:r>
      <w:r w:rsidRPr="001135EF">
        <w:rPr>
          <w:i/>
          <w:iCs/>
          <w:lang w:bidi="ar-DZ"/>
        </w:rPr>
        <w:t xml:space="preserve"> </w:t>
      </w:r>
      <w:r w:rsidRPr="001135EF">
        <w:rPr>
          <w:i/>
          <w:iCs/>
          <w:rtl/>
        </w:rPr>
        <w:t>إلاّ</w:t>
      </w:r>
      <w:r w:rsidRPr="001135EF">
        <w:rPr>
          <w:i/>
          <w:iCs/>
          <w:lang w:bidi="ar-DZ"/>
        </w:rPr>
        <w:t xml:space="preserve"> </w:t>
      </w:r>
      <w:r w:rsidRPr="001135EF">
        <w:rPr>
          <w:i/>
          <w:iCs/>
          <w:rtl/>
        </w:rPr>
        <w:t>ب</w:t>
      </w:r>
      <w:r w:rsidRPr="001135EF">
        <w:rPr>
          <w:rFonts w:hint="cs"/>
          <w:i/>
          <w:iCs/>
          <w:rtl/>
        </w:rPr>
        <w:t>أ</w:t>
      </w:r>
      <w:r w:rsidRPr="001135EF">
        <w:rPr>
          <w:i/>
          <w:iCs/>
          <w:rtl/>
        </w:rPr>
        <w:t>مر</w:t>
      </w:r>
      <w:r w:rsidRPr="001135EF">
        <w:rPr>
          <w:i/>
          <w:iCs/>
          <w:lang w:bidi="ar-DZ"/>
        </w:rPr>
        <w:t xml:space="preserve"> </w:t>
      </w:r>
      <w:r w:rsidRPr="001135EF">
        <w:rPr>
          <w:i/>
          <w:iCs/>
          <w:rtl/>
        </w:rPr>
        <w:t>من</w:t>
      </w:r>
      <w:r w:rsidRPr="001135EF">
        <w:rPr>
          <w:i/>
          <w:iCs/>
          <w:lang w:bidi="ar-DZ"/>
        </w:rPr>
        <w:t xml:space="preserve"> </w:t>
      </w:r>
      <w:r w:rsidR="001135EF" w:rsidRPr="001135EF">
        <w:rPr>
          <w:i/>
          <w:iCs/>
          <w:rtl/>
        </w:rPr>
        <w:t>ر</w:t>
      </w:r>
      <w:r w:rsidR="001135EF" w:rsidRPr="001135EF">
        <w:rPr>
          <w:rFonts w:hint="cs"/>
          <w:i/>
          <w:iCs/>
          <w:rtl/>
        </w:rPr>
        <w:t>ئي</w:t>
      </w:r>
      <w:r w:rsidR="001135EF" w:rsidRPr="001135EF">
        <w:rPr>
          <w:i/>
          <w:iCs/>
          <w:rtl/>
        </w:rPr>
        <w:t>س</w:t>
      </w:r>
      <w:r w:rsidRPr="001135EF">
        <w:rPr>
          <w:i/>
          <w:iCs/>
          <w:lang w:bidi="ar-DZ"/>
        </w:rPr>
        <w:t xml:space="preserve"> </w:t>
      </w:r>
      <w:r w:rsidRPr="001135EF">
        <w:rPr>
          <w:i/>
          <w:iCs/>
          <w:rtl/>
        </w:rPr>
        <w:t>المحكمة</w:t>
      </w:r>
      <w:r w:rsidRPr="001135EF">
        <w:rPr>
          <w:i/>
          <w:iCs/>
          <w:lang w:bidi="ar-DZ"/>
        </w:rPr>
        <w:t xml:space="preserve"> </w:t>
      </w:r>
      <w:r w:rsidRPr="001135EF">
        <w:rPr>
          <w:i/>
          <w:iCs/>
          <w:rtl/>
        </w:rPr>
        <w:t>المختصّة</w:t>
      </w:r>
      <w:r w:rsidRPr="001135EF">
        <w:rPr>
          <w:i/>
          <w:iCs/>
          <w:lang w:bidi="ar-DZ"/>
        </w:rPr>
        <w:t xml:space="preserve"> </w:t>
      </w:r>
      <w:r w:rsidRPr="001135EF">
        <w:rPr>
          <w:i/>
          <w:iCs/>
          <w:rtl/>
        </w:rPr>
        <w:t>إقل</w:t>
      </w:r>
      <w:r w:rsidR="001135EF" w:rsidRPr="001135EF">
        <w:rPr>
          <w:rFonts w:hint="cs"/>
          <w:i/>
          <w:iCs/>
          <w:rtl/>
        </w:rPr>
        <w:t>ي</w:t>
      </w:r>
      <w:r w:rsidR="001135EF" w:rsidRPr="001135EF">
        <w:rPr>
          <w:i/>
          <w:iCs/>
          <w:rtl/>
        </w:rPr>
        <w:t>م</w:t>
      </w:r>
      <w:r w:rsidR="001135EF" w:rsidRPr="001135EF">
        <w:rPr>
          <w:rFonts w:hint="cs"/>
          <w:i/>
          <w:iCs/>
          <w:rtl/>
        </w:rPr>
        <w:t>ي</w:t>
      </w:r>
      <w:r w:rsidR="001135EF" w:rsidRPr="001135EF">
        <w:rPr>
          <w:i/>
          <w:iCs/>
          <w:rtl/>
        </w:rPr>
        <w:t>ا</w:t>
      </w:r>
      <w:r w:rsidRPr="001135EF">
        <w:rPr>
          <w:i/>
          <w:iCs/>
          <w:lang w:bidi="ar-DZ"/>
        </w:rPr>
        <w:t xml:space="preserve"> </w:t>
      </w:r>
      <w:r w:rsidRPr="001135EF">
        <w:rPr>
          <w:i/>
          <w:iCs/>
          <w:rtl/>
        </w:rPr>
        <w:t>أو</w:t>
      </w:r>
      <w:r w:rsidRPr="001135EF">
        <w:rPr>
          <w:i/>
          <w:iCs/>
          <w:lang w:bidi="ar-DZ"/>
        </w:rPr>
        <w:t xml:space="preserve"> </w:t>
      </w:r>
      <w:r w:rsidRPr="001135EF">
        <w:rPr>
          <w:i/>
          <w:iCs/>
          <w:rtl/>
        </w:rPr>
        <w:t>قاض</w:t>
      </w:r>
      <w:r w:rsidR="001135EF" w:rsidRPr="001135EF">
        <w:rPr>
          <w:rFonts w:hint="cs"/>
          <w:i/>
          <w:iCs/>
          <w:rtl/>
        </w:rPr>
        <w:t>ي</w:t>
      </w:r>
      <w:r w:rsidRPr="001135EF">
        <w:rPr>
          <w:i/>
          <w:iCs/>
          <w:lang w:bidi="ar-DZ"/>
        </w:rPr>
        <w:t xml:space="preserve"> </w:t>
      </w:r>
      <w:r w:rsidR="001135EF" w:rsidRPr="001135EF">
        <w:rPr>
          <w:rFonts w:hint="cs"/>
          <w:i/>
          <w:iCs/>
          <w:rtl/>
          <w:lang w:bidi="ar-DZ"/>
        </w:rPr>
        <w:t>ي</w:t>
      </w:r>
      <w:r w:rsidR="001135EF" w:rsidRPr="001135EF">
        <w:rPr>
          <w:i/>
          <w:iCs/>
          <w:rtl/>
        </w:rPr>
        <w:t>ف</w:t>
      </w:r>
      <w:r w:rsidRPr="001135EF">
        <w:rPr>
          <w:i/>
          <w:iCs/>
          <w:rtl/>
        </w:rPr>
        <w:t>وضه</w:t>
      </w:r>
      <w:r w:rsidRPr="001135EF">
        <w:rPr>
          <w:i/>
          <w:iCs/>
          <w:lang w:bidi="ar-DZ"/>
        </w:rPr>
        <w:t xml:space="preserve"> </w:t>
      </w:r>
      <w:r w:rsidRPr="001135EF">
        <w:rPr>
          <w:i/>
          <w:iCs/>
          <w:rtl/>
        </w:rPr>
        <w:t>هذا</w:t>
      </w:r>
      <w:r w:rsidRPr="001135EF">
        <w:rPr>
          <w:i/>
          <w:iCs/>
          <w:lang w:bidi="ar-DZ"/>
        </w:rPr>
        <w:t xml:space="preserve"> </w:t>
      </w:r>
      <w:r w:rsidRPr="001135EF">
        <w:rPr>
          <w:i/>
          <w:iCs/>
          <w:rtl/>
        </w:rPr>
        <w:t>الأخ</w:t>
      </w:r>
      <w:r w:rsidR="001135EF" w:rsidRPr="001135EF">
        <w:rPr>
          <w:rFonts w:hint="cs"/>
          <w:i/>
          <w:iCs/>
          <w:rtl/>
        </w:rPr>
        <w:t>ي</w:t>
      </w:r>
      <w:r w:rsidR="001135EF" w:rsidRPr="001135EF">
        <w:rPr>
          <w:i/>
          <w:iCs/>
          <w:rtl/>
        </w:rPr>
        <w:t>ر</w:t>
      </w:r>
      <w:r w:rsidR="001135EF" w:rsidRPr="001135EF">
        <w:rPr>
          <w:rFonts w:hint="cs"/>
          <w:i/>
          <w:iCs/>
          <w:rtl/>
        </w:rPr>
        <w:t>...</w:t>
      </w:r>
      <w:r w:rsidR="001135EF" w:rsidRPr="001135EF">
        <w:rPr>
          <w:rFonts w:ascii="Arial" w:hAnsi="Arial" w:cs="Arial"/>
          <w:i/>
          <w:iCs/>
          <w:rtl/>
        </w:rPr>
        <w:t xml:space="preserve"> </w:t>
      </w:r>
      <w:r w:rsidR="001135EF" w:rsidRPr="001135EF">
        <w:rPr>
          <w:i/>
          <w:iCs/>
          <w:rtl/>
        </w:rPr>
        <w:t>تتم</w:t>
      </w:r>
      <w:r w:rsidR="001135EF" w:rsidRPr="001135EF">
        <w:rPr>
          <w:i/>
          <w:iCs/>
        </w:rPr>
        <w:t xml:space="preserve"> </w:t>
      </w:r>
      <w:r w:rsidR="001135EF" w:rsidRPr="001135EF">
        <w:rPr>
          <w:i/>
          <w:iCs/>
          <w:rtl/>
        </w:rPr>
        <w:t>المعا</w:t>
      </w:r>
      <w:r w:rsidR="001135EF" w:rsidRPr="001135EF">
        <w:rPr>
          <w:rFonts w:hint="cs"/>
          <w:i/>
          <w:iCs/>
          <w:rtl/>
        </w:rPr>
        <w:t>ينة</w:t>
      </w:r>
      <w:r w:rsidR="001135EF" w:rsidRPr="001135EF">
        <w:rPr>
          <w:i/>
          <w:iCs/>
        </w:rPr>
        <w:t xml:space="preserve"> </w:t>
      </w:r>
      <w:r w:rsidR="001135EF" w:rsidRPr="001135EF">
        <w:rPr>
          <w:i/>
          <w:iCs/>
          <w:rtl/>
        </w:rPr>
        <w:t>وحجز</w:t>
      </w:r>
      <w:r w:rsidR="001135EF" w:rsidRPr="001135EF">
        <w:rPr>
          <w:i/>
          <w:iCs/>
        </w:rPr>
        <w:t xml:space="preserve"> </w:t>
      </w:r>
      <w:r w:rsidR="001135EF" w:rsidRPr="001135EF">
        <w:rPr>
          <w:i/>
          <w:iCs/>
          <w:rtl/>
        </w:rPr>
        <w:t>الوثا</w:t>
      </w:r>
      <w:r w:rsidR="001135EF" w:rsidRPr="001135EF">
        <w:rPr>
          <w:rFonts w:hint="cs"/>
          <w:i/>
          <w:iCs/>
          <w:rtl/>
        </w:rPr>
        <w:t>ئق</w:t>
      </w:r>
      <w:r w:rsidR="001135EF" w:rsidRPr="001135EF">
        <w:rPr>
          <w:i/>
          <w:iCs/>
        </w:rPr>
        <w:t xml:space="preserve"> </w:t>
      </w:r>
      <w:r w:rsidR="001135EF" w:rsidRPr="001135EF">
        <w:rPr>
          <w:i/>
          <w:iCs/>
          <w:rtl/>
        </w:rPr>
        <w:t>والأملاك</w:t>
      </w:r>
      <w:r w:rsidR="001135EF" w:rsidRPr="001135EF">
        <w:rPr>
          <w:i/>
          <w:iCs/>
        </w:rPr>
        <w:t xml:space="preserve"> </w:t>
      </w:r>
      <w:r w:rsidR="001135EF" w:rsidRPr="001135EF">
        <w:rPr>
          <w:i/>
          <w:iCs/>
          <w:rtl/>
        </w:rPr>
        <w:t>الت</w:t>
      </w:r>
      <w:r w:rsidR="001135EF" w:rsidRPr="001135EF">
        <w:rPr>
          <w:rFonts w:hint="cs"/>
          <w:i/>
          <w:iCs/>
          <w:rtl/>
        </w:rPr>
        <w:t>ي</w:t>
      </w:r>
      <w:r w:rsidR="001135EF" w:rsidRPr="001135EF">
        <w:rPr>
          <w:i/>
          <w:iCs/>
        </w:rPr>
        <w:t xml:space="preserve"> </w:t>
      </w:r>
      <w:r w:rsidR="001135EF" w:rsidRPr="001135EF">
        <w:rPr>
          <w:i/>
          <w:iCs/>
          <w:rtl/>
        </w:rPr>
        <w:t>تشكل</w:t>
      </w:r>
      <w:r w:rsidR="001135EF" w:rsidRPr="001135EF">
        <w:rPr>
          <w:i/>
          <w:iCs/>
        </w:rPr>
        <w:t xml:space="preserve"> </w:t>
      </w:r>
      <w:r w:rsidR="001135EF" w:rsidRPr="001135EF">
        <w:rPr>
          <w:i/>
          <w:iCs/>
          <w:rtl/>
        </w:rPr>
        <w:t>أدلة</w:t>
      </w:r>
      <w:r w:rsidR="001135EF" w:rsidRPr="001135EF">
        <w:rPr>
          <w:i/>
          <w:iCs/>
        </w:rPr>
        <w:t xml:space="preserve"> </w:t>
      </w:r>
      <w:r w:rsidR="001135EF" w:rsidRPr="001135EF">
        <w:rPr>
          <w:i/>
          <w:iCs/>
          <w:rtl/>
        </w:rPr>
        <w:t>على</w:t>
      </w:r>
      <w:r w:rsidR="001135EF" w:rsidRPr="001135EF">
        <w:rPr>
          <w:i/>
          <w:iCs/>
        </w:rPr>
        <w:t xml:space="preserve"> </w:t>
      </w:r>
      <w:r w:rsidR="001135EF" w:rsidRPr="001135EF">
        <w:rPr>
          <w:i/>
          <w:iCs/>
          <w:rtl/>
        </w:rPr>
        <w:t>وجود</w:t>
      </w:r>
      <w:r w:rsidR="001135EF" w:rsidRPr="001135EF">
        <w:rPr>
          <w:i/>
          <w:iCs/>
        </w:rPr>
        <w:t xml:space="preserve"> </w:t>
      </w:r>
      <w:r w:rsidR="001135EF" w:rsidRPr="001135EF">
        <w:rPr>
          <w:i/>
          <w:iCs/>
          <w:rtl/>
        </w:rPr>
        <w:t>طرق</w:t>
      </w:r>
      <w:r w:rsidR="001135EF" w:rsidRPr="001135EF">
        <w:rPr>
          <w:i/>
          <w:iCs/>
        </w:rPr>
        <w:t xml:space="preserve"> </w:t>
      </w:r>
      <w:r w:rsidR="001135EF" w:rsidRPr="001135EF">
        <w:rPr>
          <w:i/>
          <w:iCs/>
          <w:rtl/>
        </w:rPr>
        <w:t>تدل</w:t>
      </w:r>
      <w:r w:rsidR="001135EF" w:rsidRPr="001135EF">
        <w:rPr>
          <w:rFonts w:hint="cs"/>
          <w:i/>
          <w:iCs/>
          <w:rtl/>
        </w:rPr>
        <w:t>يسية</w:t>
      </w:r>
      <w:r w:rsidR="001135EF" w:rsidRPr="001135EF">
        <w:rPr>
          <w:i/>
          <w:iCs/>
          <w:rtl/>
        </w:rPr>
        <w:t>،</w:t>
      </w:r>
      <w:r w:rsidR="001135EF" w:rsidRPr="001135EF">
        <w:rPr>
          <w:i/>
          <w:iCs/>
        </w:rPr>
        <w:t xml:space="preserve"> </w:t>
      </w:r>
      <w:r w:rsidR="001135EF" w:rsidRPr="001135EF">
        <w:rPr>
          <w:i/>
          <w:iCs/>
          <w:rtl/>
        </w:rPr>
        <w:t>تحت</w:t>
      </w:r>
      <w:r w:rsidR="001135EF" w:rsidRPr="001135EF">
        <w:rPr>
          <w:i/>
          <w:iCs/>
        </w:rPr>
        <w:t xml:space="preserve"> </w:t>
      </w:r>
      <w:r w:rsidR="001135EF" w:rsidRPr="001135EF">
        <w:rPr>
          <w:i/>
          <w:iCs/>
          <w:rtl/>
        </w:rPr>
        <w:t>سلطة</w:t>
      </w:r>
      <w:r w:rsidR="001135EF" w:rsidRPr="001135EF">
        <w:rPr>
          <w:i/>
          <w:iCs/>
        </w:rPr>
        <w:t xml:space="preserve"> </w:t>
      </w:r>
      <w:r w:rsidR="001135EF" w:rsidRPr="001135EF">
        <w:rPr>
          <w:i/>
          <w:iCs/>
          <w:rtl/>
        </w:rPr>
        <w:t>القاض</w:t>
      </w:r>
      <w:r w:rsidR="001135EF" w:rsidRPr="001135EF">
        <w:rPr>
          <w:i/>
          <w:iCs/>
        </w:rPr>
        <w:t xml:space="preserve"> </w:t>
      </w:r>
      <w:r w:rsidR="001135EF" w:rsidRPr="001135EF">
        <w:rPr>
          <w:i/>
          <w:iCs/>
          <w:rtl/>
        </w:rPr>
        <w:t>ورقابته</w:t>
      </w:r>
      <w:r w:rsidR="001135EF" w:rsidRPr="001135EF">
        <w:rPr>
          <w:i/>
          <w:iCs/>
        </w:rPr>
        <w:t>.</w:t>
      </w:r>
      <w:r w:rsidR="001135EF" w:rsidRPr="001135EF">
        <w:rPr>
          <w:rFonts w:hint="cs"/>
          <w:i/>
          <w:iCs/>
          <w:rtl/>
        </w:rPr>
        <w:t>"</w:t>
      </w:r>
    </w:p>
  </w:footnote>
  <w:footnote w:id="3">
    <w:p w14:paraId="76170C3B" w14:textId="77777777" w:rsidR="0029632A" w:rsidRDefault="0029632A" w:rsidP="0029632A">
      <w:pPr>
        <w:pStyle w:val="Notedebasdepage"/>
        <w:bidi/>
        <w:rPr>
          <w:rtl/>
          <w:lang w:bidi="ar-DZ"/>
        </w:rPr>
      </w:pPr>
      <w:r>
        <w:rPr>
          <w:rStyle w:val="Appelnotedebasdep"/>
        </w:rPr>
        <w:footnoteRef/>
      </w:r>
      <w:r>
        <w:t xml:space="preserve"> </w:t>
      </w:r>
      <w:r>
        <w:rPr>
          <w:rFonts w:hint="cs"/>
          <w:rtl/>
          <w:lang w:bidi="ar-DZ"/>
        </w:rPr>
        <w:t xml:space="preserve"> - المادة 38 من ق إ ج.</w:t>
      </w:r>
    </w:p>
  </w:footnote>
  <w:footnote w:id="4">
    <w:p w14:paraId="59AB9A24" w14:textId="5E386D06" w:rsidR="00AC6DC6" w:rsidRDefault="00AC6DC6" w:rsidP="00AC6DC6">
      <w:pPr>
        <w:pStyle w:val="Notedebasdepage"/>
        <w:bidi/>
        <w:rPr>
          <w:rFonts w:hint="cs"/>
          <w:rtl/>
          <w:lang w:bidi="ar-DZ"/>
        </w:rPr>
      </w:pPr>
      <w:r>
        <w:rPr>
          <w:rStyle w:val="Appelnotedebasdep"/>
        </w:rPr>
        <w:footnoteRef/>
      </w:r>
      <w:r>
        <w:t xml:space="preserve"> </w:t>
      </w:r>
      <w:r>
        <w:rPr>
          <w:rFonts w:hint="cs"/>
          <w:rtl/>
          <w:lang w:bidi="ar-DZ"/>
        </w:rPr>
        <w:t xml:space="preserve"> - تعاد كل الوثائق </w:t>
      </w:r>
      <w:r w:rsidR="00683856">
        <w:rPr>
          <w:rFonts w:hint="cs"/>
          <w:rtl/>
          <w:lang w:bidi="ar-DZ"/>
        </w:rPr>
        <w:t>والمواد</w:t>
      </w:r>
      <w:r>
        <w:rPr>
          <w:rFonts w:hint="cs"/>
          <w:rtl/>
          <w:lang w:bidi="ar-DZ"/>
        </w:rPr>
        <w:t xml:space="preserve"> المحجوزة إلى أصحابها في مدة 06 أشهر من تاريخ تسليم محضر المعاينة.</w:t>
      </w:r>
    </w:p>
  </w:footnote>
  <w:footnote w:id="5">
    <w:p w14:paraId="5EC2ADAC" w14:textId="28EC1F6D" w:rsidR="00683856" w:rsidRDefault="00683856" w:rsidP="00683856">
      <w:pPr>
        <w:pStyle w:val="Notedebasdepage"/>
        <w:bidi/>
        <w:rPr>
          <w:rFonts w:hint="cs"/>
          <w:rtl/>
          <w:lang w:bidi="ar-DZ"/>
        </w:rPr>
      </w:pPr>
      <w:r>
        <w:rPr>
          <w:rStyle w:val="Appelnotedebasdep"/>
        </w:rPr>
        <w:footnoteRef/>
      </w:r>
      <w:r>
        <w:t xml:space="preserve"> </w:t>
      </w:r>
      <w:r>
        <w:rPr>
          <w:rFonts w:hint="cs"/>
          <w:rtl/>
          <w:lang w:bidi="ar-DZ"/>
        </w:rPr>
        <w:t xml:space="preserve"> - يتعين على كل من شارك في المعاينة المحافظة على السر المهني.</w:t>
      </w:r>
    </w:p>
  </w:footnote>
  <w:footnote w:id="6">
    <w:p w14:paraId="2B9947FD" w14:textId="7DD14F4F" w:rsidR="00417B36" w:rsidRDefault="00417B36" w:rsidP="00417B36">
      <w:pPr>
        <w:pStyle w:val="Notedebasdepage"/>
        <w:bidi/>
        <w:rPr>
          <w:rFonts w:hint="cs"/>
          <w:rtl/>
          <w:lang w:bidi="ar-DZ"/>
        </w:rPr>
      </w:pPr>
      <w:r>
        <w:rPr>
          <w:rStyle w:val="Appelnotedebasdep"/>
        </w:rPr>
        <w:footnoteRef/>
      </w:r>
      <w:r>
        <w:t xml:space="preserve"> </w:t>
      </w:r>
      <w:r>
        <w:rPr>
          <w:rFonts w:hint="cs"/>
          <w:rtl/>
          <w:lang w:bidi="ar-DZ"/>
        </w:rPr>
        <w:t xml:space="preserve"> - سمى </w:t>
      </w:r>
      <w:r w:rsidR="0045047E">
        <w:rPr>
          <w:rFonts w:hint="cs"/>
          <w:rtl/>
          <w:lang w:bidi="ar-DZ"/>
        </w:rPr>
        <w:t xml:space="preserve">على إثر ذلك </w:t>
      </w:r>
      <w:r>
        <w:rPr>
          <w:rFonts w:hint="cs"/>
          <w:rtl/>
          <w:lang w:bidi="ar-DZ"/>
        </w:rPr>
        <w:t>في الفقه الفرنسي بقاضي المظاهر</w:t>
      </w:r>
      <w:r w:rsidR="0045047E">
        <w:rPr>
          <w:rFonts w:hint="cs"/>
          <w:rtl/>
          <w:lang w:bidi="ar-DZ"/>
        </w:rPr>
        <w:t>.</w:t>
      </w:r>
    </w:p>
  </w:footnote>
  <w:footnote w:id="7">
    <w:p w14:paraId="0D1FDC7A" w14:textId="00C26BA4" w:rsidR="0045047E" w:rsidRDefault="0045047E" w:rsidP="0045047E">
      <w:pPr>
        <w:pStyle w:val="Notedebasdepage"/>
        <w:bidi/>
        <w:rPr>
          <w:rFonts w:hint="cs"/>
          <w:rtl/>
          <w:lang w:bidi="ar-DZ"/>
        </w:rPr>
      </w:pPr>
      <w:r>
        <w:rPr>
          <w:rStyle w:val="Appelnotedebasdep"/>
        </w:rPr>
        <w:footnoteRef/>
      </w:r>
      <w:r>
        <w:t xml:space="preserve"> </w:t>
      </w:r>
      <w:r>
        <w:rPr>
          <w:rFonts w:hint="cs"/>
          <w:rtl/>
          <w:lang w:bidi="ar-DZ"/>
        </w:rPr>
        <w:t xml:space="preserve"> - يمنح الرخصة قاضي عادي </w:t>
      </w:r>
      <w:r w:rsidR="006C17F0">
        <w:rPr>
          <w:rFonts w:hint="cs"/>
          <w:rtl/>
          <w:lang w:bidi="ar-DZ"/>
        </w:rPr>
        <w:t>وليس</w:t>
      </w:r>
      <w:r>
        <w:rPr>
          <w:rFonts w:hint="cs"/>
          <w:rtl/>
          <w:lang w:bidi="ar-DZ"/>
        </w:rPr>
        <w:t xml:space="preserve"> القاضي الإداري</w:t>
      </w:r>
      <w:r w:rsidR="006C17F0">
        <w:rPr>
          <w:rFonts w:hint="cs"/>
          <w:rtl/>
          <w:lang w:bidi="ar-DZ"/>
        </w:rPr>
        <w:t xml:space="preserve"> </w:t>
      </w:r>
      <w:proofErr w:type="gramStart"/>
      <w:r w:rsidR="006C17F0">
        <w:rPr>
          <w:rFonts w:hint="cs"/>
          <w:rtl/>
          <w:lang w:bidi="ar-DZ"/>
        </w:rPr>
        <w:t>و هو</w:t>
      </w:r>
      <w:proofErr w:type="gramEnd"/>
      <w:r w:rsidR="006C17F0">
        <w:rPr>
          <w:rFonts w:hint="cs"/>
          <w:rtl/>
          <w:lang w:bidi="ar-DZ"/>
        </w:rPr>
        <w:t xml:space="preserve"> بمثابة استثناء عن القاعدة العامة. نظرا لسكوت المشرع الجزائري عن وسلة الطعن التي تخص الرخصة، علينا العودة إلى القواعد العامة المنصوص عليها في قانون الإجراءات المدنية والإدارية </w:t>
      </w:r>
      <w:r w:rsidR="00974CC9">
        <w:rPr>
          <w:rFonts w:hint="cs"/>
          <w:rtl/>
          <w:lang w:bidi="ar-DZ"/>
        </w:rPr>
        <w:t>وذلك</w:t>
      </w:r>
      <w:r w:rsidR="006C17F0">
        <w:rPr>
          <w:rFonts w:hint="cs"/>
          <w:rtl/>
          <w:lang w:bidi="ar-DZ"/>
        </w:rPr>
        <w:t xml:space="preserve"> في موضوع الطعن في التدابير الاستعجالية.</w:t>
      </w:r>
    </w:p>
  </w:footnote>
  <w:footnote w:id="8">
    <w:p w14:paraId="389D8F9F" w14:textId="655D7FB2" w:rsidR="004F7EA8" w:rsidRDefault="004F7EA8" w:rsidP="004F7EA8">
      <w:pPr>
        <w:pStyle w:val="Notedebasdepage"/>
        <w:bidi/>
        <w:rPr>
          <w:rFonts w:hint="cs"/>
          <w:rtl/>
          <w:lang w:bidi="ar-DZ"/>
        </w:rPr>
      </w:pPr>
      <w:r>
        <w:rPr>
          <w:rStyle w:val="Appelnotedebasdep"/>
        </w:rPr>
        <w:footnoteRef/>
      </w:r>
      <w:r>
        <w:t xml:space="preserve"> </w:t>
      </w:r>
      <w:r>
        <w:rPr>
          <w:rFonts w:hint="cs"/>
          <w:rtl/>
          <w:lang w:bidi="ar-DZ"/>
        </w:rPr>
        <w:t xml:space="preserve"> - هذا موقف مجلس الدولة الفرنسي، بينما محكمة النقض الفرنسية لها موقف معاكس لموقف مجلس الدولة في</w:t>
      </w:r>
      <w:r w:rsidR="000F29A1">
        <w:rPr>
          <w:rFonts w:hint="cs"/>
          <w:rtl/>
          <w:lang w:bidi="ar-DZ"/>
        </w:rPr>
        <w:t>ما يخص المعلومات المستقاة من التفتيش في</w:t>
      </w:r>
      <w:r>
        <w:rPr>
          <w:rFonts w:hint="cs"/>
          <w:rtl/>
          <w:lang w:bidi="ar-DZ"/>
        </w:rPr>
        <w:t xml:space="preserve"> المواد الجمركية.</w:t>
      </w:r>
    </w:p>
  </w:footnote>
  <w:footnote w:id="9">
    <w:p w14:paraId="420535BE" w14:textId="14A8E9C8" w:rsidR="007B13E0" w:rsidRDefault="007B13E0" w:rsidP="007B13E0">
      <w:pPr>
        <w:pStyle w:val="Notedebasdepage"/>
        <w:bidi/>
        <w:rPr>
          <w:rFonts w:hint="cs"/>
          <w:rtl/>
          <w:lang w:bidi="ar-DZ"/>
        </w:rPr>
      </w:pPr>
      <w:r>
        <w:rPr>
          <w:rStyle w:val="Appelnotedebasdep"/>
        </w:rPr>
        <w:footnoteRef/>
      </w:r>
      <w:r>
        <w:t xml:space="preserve"> </w:t>
      </w:r>
      <w:r>
        <w:rPr>
          <w:rFonts w:hint="cs"/>
          <w:rtl/>
        </w:rPr>
        <w:t xml:space="preserve">- إلا أنه </w:t>
      </w:r>
      <w:proofErr w:type="gramStart"/>
      <w:r>
        <w:rPr>
          <w:rFonts w:hint="cs"/>
          <w:rtl/>
        </w:rPr>
        <w:t xml:space="preserve">و </w:t>
      </w:r>
      <w:r w:rsidR="000F29A1">
        <w:rPr>
          <w:rFonts w:hint="cs"/>
          <w:rtl/>
        </w:rPr>
        <w:t>نظرا</w:t>
      </w:r>
      <w:proofErr w:type="gramEnd"/>
      <w:r w:rsidR="000F29A1">
        <w:t xml:space="preserve"> </w:t>
      </w:r>
      <w:r w:rsidR="000F29A1">
        <w:rPr>
          <w:rtl/>
        </w:rPr>
        <w:t>لبعض</w:t>
      </w:r>
      <w:r w:rsidR="006C1CDD">
        <w:rPr>
          <w:rFonts w:hint="cs"/>
          <w:rtl/>
          <w:lang w:bidi="ar-DZ"/>
        </w:rPr>
        <w:t xml:space="preserve"> الاجتهادات القضائية </w:t>
      </w:r>
      <w:r w:rsidR="000F29A1">
        <w:rPr>
          <w:rFonts w:hint="cs"/>
          <w:rtl/>
          <w:lang w:bidi="ar-DZ"/>
        </w:rPr>
        <w:t xml:space="preserve">الفرنسية، لا يمكن للمكلف بالضريبة الطعن في صحة العمليات أمام القاضي الإداري إذا لم يقم قبل ذلك بالطعن في الرخصة بالنقض أمام محكمة النقض و كذلك إذا لم يقدم على منازعة عمليات </w:t>
      </w:r>
      <w:r w:rsidR="00283775">
        <w:rPr>
          <w:rFonts w:hint="cs"/>
          <w:rtl/>
          <w:lang w:bidi="ar-DZ"/>
        </w:rPr>
        <w:t xml:space="preserve">التفتيش </w:t>
      </w:r>
      <w:r w:rsidR="000F29A1">
        <w:rPr>
          <w:rFonts w:hint="cs"/>
          <w:rtl/>
          <w:lang w:bidi="ar-DZ"/>
        </w:rPr>
        <w:t>أمام القاضي المرخص.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210"/>
    <w:multiLevelType w:val="hybridMultilevel"/>
    <w:tmpl w:val="27FEA0EA"/>
    <w:lvl w:ilvl="0" w:tplc="5EF09FF0">
      <w:numFmt w:val="bullet"/>
      <w:lvlText w:val="-"/>
      <w:lvlJc w:val="left"/>
      <w:pPr>
        <w:ind w:left="927" w:hanging="360"/>
      </w:pPr>
      <w:rPr>
        <w:rFonts w:ascii="Traditional Arabic" w:eastAsiaTheme="minorHAnsi" w:hAnsi="Traditional Arabic" w:cs="Traditional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CAF"/>
    <w:rsid w:val="00046A1A"/>
    <w:rsid w:val="00076518"/>
    <w:rsid w:val="000F29A1"/>
    <w:rsid w:val="001135EF"/>
    <w:rsid w:val="00142901"/>
    <w:rsid w:val="00216500"/>
    <w:rsid w:val="00283775"/>
    <w:rsid w:val="0029632A"/>
    <w:rsid w:val="00381007"/>
    <w:rsid w:val="00417B36"/>
    <w:rsid w:val="0045047E"/>
    <w:rsid w:val="004F19E9"/>
    <w:rsid w:val="004F7EA8"/>
    <w:rsid w:val="006636D2"/>
    <w:rsid w:val="00683856"/>
    <w:rsid w:val="006C17F0"/>
    <w:rsid w:val="006C1CDD"/>
    <w:rsid w:val="007B13E0"/>
    <w:rsid w:val="008C76EF"/>
    <w:rsid w:val="008F1ECF"/>
    <w:rsid w:val="00927AD5"/>
    <w:rsid w:val="00974CC9"/>
    <w:rsid w:val="009F3424"/>
    <w:rsid w:val="00A721CE"/>
    <w:rsid w:val="00AC6DC6"/>
    <w:rsid w:val="00AE256C"/>
    <w:rsid w:val="00B73949"/>
    <w:rsid w:val="00C37CAF"/>
    <w:rsid w:val="00DF092B"/>
    <w:rsid w:val="00E83D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B9EB"/>
  <w15:docId w15:val="{868006DD-4C86-4C9D-9447-CC055E60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636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36D2"/>
    <w:rPr>
      <w:sz w:val="20"/>
      <w:szCs w:val="20"/>
    </w:rPr>
  </w:style>
  <w:style w:type="character" w:styleId="Appelnotedebasdep">
    <w:name w:val="footnote reference"/>
    <w:basedOn w:val="Policepardfaut"/>
    <w:uiPriority w:val="99"/>
    <w:semiHidden/>
    <w:unhideWhenUsed/>
    <w:rsid w:val="006636D2"/>
    <w:rPr>
      <w:vertAlign w:val="superscript"/>
    </w:rPr>
  </w:style>
  <w:style w:type="paragraph" w:styleId="Paragraphedeliste">
    <w:name w:val="List Paragraph"/>
    <w:basedOn w:val="Normal"/>
    <w:uiPriority w:val="34"/>
    <w:qFormat/>
    <w:rsid w:val="00113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49B1-EF06-4D2D-8F39-5D9DADCA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760</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Office User</cp:lastModifiedBy>
  <cp:revision>4</cp:revision>
  <dcterms:created xsi:type="dcterms:W3CDTF">2021-02-02T08:19:00Z</dcterms:created>
  <dcterms:modified xsi:type="dcterms:W3CDTF">2022-03-07T22:27:00Z</dcterms:modified>
</cp:coreProperties>
</file>