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F12" w:rsidRPr="00166FA0" w:rsidRDefault="00316F12" w:rsidP="00316F12">
      <w:pPr>
        <w:spacing w:before="360" w:after="240" w:line="240" w:lineRule="auto"/>
        <w:jc w:val="center"/>
        <w:rPr>
          <w:rFonts w:asciiTheme="majorBidi" w:hAnsiTheme="majorBidi" w:cstheme="majorBidi"/>
          <w:b/>
          <w:bCs/>
          <w:smallCaps/>
          <w:sz w:val="24"/>
          <w:szCs w:val="24"/>
        </w:rPr>
      </w:pPr>
      <w:r w:rsidRPr="00166FA0">
        <w:rPr>
          <w:rFonts w:asciiTheme="majorBidi" w:hAnsiTheme="majorBidi" w:cstheme="majorBidi"/>
          <w:b/>
          <w:bCs/>
          <w:smallCaps/>
          <w:sz w:val="24"/>
          <w:szCs w:val="24"/>
        </w:rPr>
        <w:t>C</w:t>
      </w:r>
      <w:r>
        <w:rPr>
          <w:rFonts w:asciiTheme="majorBidi" w:hAnsiTheme="majorBidi" w:cstheme="majorBidi"/>
          <w:b/>
          <w:bCs/>
          <w:smallCaps/>
          <w:sz w:val="24"/>
          <w:szCs w:val="24"/>
        </w:rPr>
        <w:t xml:space="preserve">hapitre 2 : Les sources du Dfi algérien </w:t>
      </w:r>
    </w:p>
    <w:p w:rsidR="00316F12" w:rsidRPr="00166FA0" w:rsidRDefault="00316F12" w:rsidP="00316F12">
      <w:pPr>
        <w:spacing w:before="120" w:after="120" w:line="240" w:lineRule="auto"/>
        <w:ind w:firstLine="709"/>
        <w:jc w:val="both"/>
        <w:rPr>
          <w:rFonts w:asciiTheme="majorBidi" w:hAnsiTheme="majorBidi" w:cstheme="majorBidi"/>
          <w:sz w:val="24"/>
          <w:szCs w:val="24"/>
        </w:rPr>
      </w:pPr>
      <w:r w:rsidRPr="00166FA0">
        <w:rPr>
          <w:rFonts w:asciiTheme="majorBidi" w:hAnsiTheme="majorBidi" w:cstheme="majorBidi"/>
          <w:b/>
          <w:bCs/>
          <w:sz w:val="24"/>
          <w:szCs w:val="24"/>
        </w:rPr>
        <w:t>Section 1 :</w:t>
      </w:r>
      <w:r w:rsidRPr="00166FA0">
        <w:rPr>
          <w:rFonts w:asciiTheme="majorBidi" w:hAnsiTheme="majorBidi" w:cstheme="majorBidi"/>
          <w:sz w:val="24"/>
          <w:szCs w:val="24"/>
        </w:rPr>
        <w:t xml:space="preserve"> Les sources internes du droit fiscal international </w:t>
      </w:r>
      <w:r>
        <w:rPr>
          <w:rFonts w:asciiTheme="majorBidi" w:hAnsiTheme="majorBidi" w:cstheme="majorBidi"/>
          <w:sz w:val="24"/>
          <w:szCs w:val="24"/>
        </w:rPr>
        <w:t xml:space="preserve">algérien </w:t>
      </w:r>
    </w:p>
    <w:p w:rsidR="00316F12" w:rsidRPr="00A459AE" w:rsidRDefault="00316F12" w:rsidP="00316F12">
      <w:pPr>
        <w:spacing w:before="120" w:after="120" w:line="240" w:lineRule="auto"/>
        <w:ind w:firstLine="709"/>
        <w:jc w:val="both"/>
        <w:rPr>
          <w:rFonts w:asciiTheme="majorBidi" w:hAnsiTheme="majorBidi" w:cstheme="majorBidi"/>
          <w:sz w:val="24"/>
          <w:szCs w:val="24"/>
        </w:rPr>
      </w:pPr>
      <w:r w:rsidRPr="00166FA0">
        <w:rPr>
          <w:rFonts w:asciiTheme="majorBidi" w:hAnsiTheme="majorBidi" w:cstheme="majorBidi"/>
          <w:sz w:val="24"/>
          <w:szCs w:val="24"/>
        </w:rPr>
        <w:t xml:space="preserve">Elles </w:t>
      </w:r>
      <w:r w:rsidRPr="00A459AE">
        <w:rPr>
          <w:rFonts w:asciiTheme="majorBidi" w:hAnsiTheme="majorBidi" w:cstheme="majorBidi"/>
          <w:sz w:val="24"/>
          <w:szCs w:val="24"/>
        </w:rPr>
        <w:t>c</w:t>
      </w:r>
      <w:r>
        <w:rPr>
          <w:rFonts w:asciiTheme="majorBidi" w:hAnsiTheme="majorBidi" w:cstheme="majorBidi"/>
          <w:sz w:val="24"/>
          <w:szCs w:val="24"/>
        </w:rPr>
        <w:t xml:space="preserve">onsistent dans le droit interne </w:t>
      </w:r>
      <w:r w:rsidRPr="00A459AE">
        <w:rPr>
          <w:rFonts w:asciiTheme="majorBidi" w:hAnsiTheme="majorBidi" w:cstheme="majorBidi"/>
          <w:sz w:val="24"/>
          <w:szCs w:val="24"/>
        </w:rPr>
        <w:t>: la constitution, la loi, le règlement et la doctrine de l’administration</w:t>
      </w:r>
      <w:r>
        <w:rPr>
          <w:rFonts w:asciiTheme="majorBidi" w:hAnsiTheme="majorBidi" w:cstheme="majorBidi"/>
          <w:sz w:val="24"/>
          <w:szCs w:val="24"/>
        </w:rPr>
        <w:t xml:space="preserve"> fiscale</w:t>
      </w:r>
      <w:r w:rsidRPr="00A459AE">
        <w:rPr>
          <w:rFonts w:asciiTheme="majorBidi" w:hAnsiTheme="majorBidi" w:cstheme="majorBidi"/>
          <w:sz w:val="24"/>
          <w:szCs w:val="24"/>
        </w:rPr>
        <w:t xml:space="preserve">. </w:t>
      </w:r>
    </w:p>
    <w:p w:rsidR="00316F12" w:rsidRPr="00A459AE" w:rsidRDefault="00316F12" w:rsidP="00316F12">
      <w:pPr>
        <w:pStyle w:val="Paragraphedeliste"/>
        <w:numPr>
          <w:ilvl w:val="0"/>
          <w:numId w:val="2"/>
        </w:numPr>
        <w:spacing w:before="240" w:after="120" w:line="240" w:lineRule="auto"/>
        <w:ind w:left="0" w:firstLine="709"/>
        <w:contextualSpacing w:val="0"/>
        <w:jc w:val="both"/>
        <w:rPr>
          <w:rFonts w:asciiTheme="majorBidi" w:hAnsiTheme="majorBidi" w:cstheme="majorBidi"/>
          <w:i/>
          <w:iCs/>
          <w:sz w:val="24"/>
          <w:szCs w:val="24"/>
        </w:rPr>
      </w:pPr>
      <w:r w:rsidRPr="00A459AE">
        <w:rPr>
          <w:rFonts w:asciiTheme="majorBidi" w:hAnsiTheme="majorBidi" w:cstheme="majorBidi"/>
          <w:i/>
          <w:iCs/>
          <w:sz w:val="24"/>
          <w:szCs w:val="24"/>
        </w:rPr>
        <w:t xml:space="preserve">La constitution : </w:t>
      </w:r>
      <w:r w:rsidRPr="00A459AE">
        <w:rPr>
          <w:rFonts w:asciiTheme="majorBidi" w:hAnsiTheme="majorBidi" w:cstheme="majorBidi"/>
          <w:sz w:val="24"/>
          <w:szCs w:val="24"/>
        </w:rPr>
        <w:t>pose un certain nombre de principes tels que :</w:t>
      </w:r>
      <w:r w:rsidRPr="00A459AE">
        <w:rPr>
          <w:rFonts w:asciiTheme="majorBidi" w:hAnsiTheme="majorBidi" w:cstheme="majorBidi"/>
          <w:i/>
          <w:iCs/>
          <w:sz w:val="24"/>
          <w:szCs w:val="24"/>
        </w:rPr>
        <w:t xml:space="preserve"> </w:t>
      </w:r>
    </w:p>
    <w:p w:rsidR="00316F12" w:rsidRPr="00A459AE" w:rsidRDefault="00316F12" w:rsidP="00316F12">
      <w:pPr>
        <w:pStyle w:val="Paragraphedeliste"/>
        <w:numPr>
          <w:ilvl w:val="0"/>
          <w:numId w:val="1"/>
        </w:numPr>
        <w:spacing w:before="120" w:after="120" w:line="240" w:lineRule="auto"/>
        <w:ind w:left="1702" w:hanging="284"/>
        <w:contextualSpacing w:val="0"/>
        <w:jc w:val="both"/>
        <w:rPr>
          <w:rFonts w:asciiTheme="majorBidi" w:hAnsiTheme="majorBidi" w:cstheme="majorBidi"/>
          <w:sz w:val="24"/>
          <w:szCs w:val="24"/>
        </w:rPr>
      </w:pPr>
      <w:r>
        <w:rPr>
          <w:rFonts w:asciiTheme="majorBidi" w:hAnsiTheme="majorBidi" w:cstheme="majorBidi"/>
          <w:sz w:val="24"/>
          <w:szCs w:val="24"/>
        </w:rPr>
        <w:t>L</w:t>
      </w:r>
      <w:r w:rsidRPr="00A459AE">
        <w:rPr>
          <w:rFonts w:asciiTheme="majorBidi" w:hAnsiTheme="majorBidi" w:cstheme="majorBidi"/>
          <w:sz w:val="24"/>
          <w:szCs w:val="24"/>
        </w:rPr>
        <w:t xml:space="preserve">e principe </w:t>
      </w:r>
      <w:r w:rsidRPr="00B21CF2">
        <w:rPr>
          <w:rFonts w:asciiTheme="majorBidi" w:hAnsiTheme="majorBidi" w:cstheme="majorBidi"/>
          <w:sz w:val="24"/>
          <w:szCs w:val="24"/>
          <w:u w:val="single"/>
        </w:rPr>
        <w:t>d’égalité</w:t>
      </w:r>
      <w:r w:rsidRPr="00A459AE">
        <w:rPr>
          <w:rFonts w:asciiTheme="majorBidi" w:hAnsiTheme="majorBidi" w:cstheme="majorBidi"/>
          <w:sz w:val="24"/>
          <w:szCs w:val="24"/>
        </w:rPr>
        <w:t xml:space="preserve"> devant l’impôt « </w:t>
      </w:r>
      <w:r w:rsidRPr="00B21CF2">
        <w:rPr>
          <w:rFonts w:asciiTheme="majorBidi" w:hAnsiTheme="majorBidi" w:cstheme="majorBidi"/>
          <w:i/>
          <w:iCs/>
          <w:sz w:val="24"/>
          <w:szCs w:val="24"/>
        </w:rPr>
        <w:t>Les contribuables sont égaux devant l’impôt</w:t>
      </w:r>
      <w:r w:rsidRPr="00A459AE">
        <w:rPr>
          <w:rFonts w:asciiTheme="majorBidi" w:hAnsiTheme="majorBidi" w:cstheme="majorBidi"/>
          <w:sz w:val="24"/>
          <w:szCs w:val="24"/>
        </w:rPr>
        <w:t xml:space="preserve"> » (art. 82-3).</w:t>
      </w:r>
    </w:p>
    <w:p w:rsidR="00316F12" w:rsidRPr="00A459AE" w:rsidRDefault="00316F12" w:rsidP="00316F12">
      <w:pPr>
        <w:pStyle w:val="Paragraphedeliste"/>
        <w:numPr>
          <w:ilvl w:val="0"/>
          <w:numId w:val="1"/>
        </w:numPr>
        <w:spacing w:before="120" w:after="120" w:line="240" w:lineRule="auto"/>
        <w:ind w:left="1702" w:hanging="284"/>
        <w:contextualSpacing w:val="0"/>
        <w:jc w:val="both"/>
        <w:rPr>
          <w:rFonts w:asciiTheme="majorBidi" w:hAnsiTheme="majorBidi" w:cstheme="majorBidi"/>
          <w:sz w:val="24"/>
          <w:szCs w:val="24"/>
        </w:rPr>
      </w:pPr>
      <w:r w:rsidRPr="00A459AE">
        <w:rPr>
          <w:rFonts w:asciiTheme="majorBidi" w:hAnsiTheme="majorBidi" w:cstheme="majorBidi"/>
          <w:sz w:val="24"/>
          <w:szCs w:val="24"/>
        </w:rPr>
        <w:t xml:space="preserve">Le principe de </w:t>
      </w:r>
      <w:r w:rsidRPr="00B21CF2">
        <w:rPr>
          <w:rFonts w:asciiTheme="majorBidi" w:hAnsiTheme="majorBidi" w:cstheme="majorBidi"/>
          <w:sz w:val="24"/>
          <w:szCs w:val="24"/>
          <w:u w:val="single"/>
        </w:rPr>
        <w:t>la légalité</w:t>
      </w:r>
      <w:r w:rsidRPr="00A459AE">
        <w:rPr>
          <w:rFonts w:asciiTheme="majorBidi" w:hAnsiTheme="majorBidi" w:cstheme="majorBidi"/>
          <w:sz w:val="24"/>
          <w:szCs w:val="24"/>
        </w:rPr>
        <w:t xml:space="preserve"> de l’impôt (art. 82-1), un principe selon lequel « </w:t>
      </w:r>
      <w:r w:rsidRPr="00B21CF2">
        <w:rPr>
          <w:rFonts w:asciiTheme="majorBidi" w:hAnsiTheme="majorBidi" w:cstheme="majorBidi"/>
          <w:i/>
          <w:iCs/>
          <w:sz w:val="24"/>
          <w:szCs w:val="24"/>
        </w:rPr>
        <w:t>Nul impôt ne peut être institué qu’en vertu de la loi</w:t>
      </w:r>
      <w:r w:rsidRPr="00A459AE">
        <w:rPr>
          <w:rFonts w:asciiTheme="majorBidi" w:hAnsiTheme="majorBidi" w:cstheme="majorBidi"/>
          <w:sz w:val="24"/>
          <w:szCs w:val="24"/>
        </w:rPr>
        <w:t xml:space="preserve"> ».</w:t>
      </w:r>
    </w:p>
    <w:p w:rsidR="00316F12" w:rsidRPr="00A459AE" w:rsidRDefault="00316F12" w:rsidP="00316F12">
      <w:pPr>
        <w:pStyle w:val="Paragraphedeliste"/>
        <w:numPr>
          <w:ilvl w:val="0"/>
          <w:numId w:val="1"/>
        </w:numPr>
        <w:spacing w:before="120" w:after="120" w:line="240" w:lineRule="auto"/>
        <w:ind w:left="1702" w:hanging="284"/>
        <w:contextualSpacing w:val="0"/>
        <w:jc w:val="both"/>
        <w:rPr>
          <w:rFonts w:asciiTheme="majorBidi" w:hAnsiTheme="majorBidi" w:cstheme="majorBidi"/>
          <w:sz w:val="24"/>
          <w:szCs w:val="24"/>
        </w:rPr>
      </w:pPr>
      <w:r w:rsidRPr="00A459AE">
        <w:rPr>
          <w:rFonts w:asciiTheme="majorBidi" w:hAnsiTheme="majorBidi" w:cstheme="majorBidi"/>
          <w:sz w:val="24"/>
          <w:szCs w:val="24"/>
        </w:rPr>
        <w:t xml:space="preserve">La non rétroactivité de l’impôt : « </w:t>
      </w:r>
      <w:r w:rsidRPr="00B21CF2">
        <w:rPr>
          <w:rFonts w:asciiTheme="majorBidi" w:hAnsiTheme="majorBidi" w:cstheme="majorBidi"/>
          <w:i/>
          <w:iCs/>
          <w:sz w:val="24"/>
          <w:szCs w:val="24"/>
        </w:rPr>
        <w:t>Nul impôt, contribution taxe ou droit d’aucune sorte, ne peut être institué avec effet rétroactif</w:t>
      </w:r>
      <w:r w:rsidRPr="00A459AE">
        <w:rPr>
          <w:rFonts w:asciiTheme="majorBidi" w:hAnsiTheme="majorBidi" w:cstheme="majorBidi"/>
          <w:sz w:val="24"/>
          <w:szCs w:val="24"/>
        </w:rPr>
        <w:t xml:space="preserve"> » (art. 82-4).</w:t>
      </w:r>
    </w:p>
    <w:p w:rsidR="00316F12" w:rsidRDefault="00316F12" w:rsidP="00316F12">
      <w:pPr>
        <w:pStyle w:val="Paragraphedeliste"/>
        <w:numPr>
          <w:ilvl w:val="0"/>
          <w:numId w:val="2"/>
        </w:numPr>
        <w:spacing w:before="120" w:after="120" w:line="240" w:lineRule="auto"/>
        <w:ind w:left="0" w:firstLine="709"/>
        <w:contextualSpacing w:val="0"/>
        <w:jc w:val="both"/>
        <w:rPr>
          <w:rFonts w:asciiTheme="majorBidi" w:hAnsiTheme="majorBidi" w:cstheme="majorBidi"/>
          <w:i/>
          <w:iCs/>
          <w:sz w:val="24"/>
          <w:szCs w:val="24"/>
        </w:rPr>
      </w:pPr>
      <w:r w:rsidRPr="00A459AE">
        <w:rPr>
          <w:rFonts w:asciiTheme="majorBidi" w:hAnsiTheme="majorBidi" w:cstheme="majorBidi"/>
          <w:i/>
          <w:iCs/>
          <w:sz w:val="24"/>
          <w:szCs w:val="24"/>
        </w:rPr>
        <w:t>Les actes législatifs</w:t>
      </w:r>
      <w:r>
        <w:rPr>
          <w:rFonts w:asciiTheme="majorBidi" w:hAnsiTheme="majorBidi" w:cstheme="majorBidi"/>
          <w:i/>
          <w:iCs/>
          <w:sz w:val="24"/>
          <w:szCs w:val="24"/>
        </w:rPr>
        <w:t xml:space="preserve"> (Lois) : </w:t>
      </w:r>
    </w:p>
    <w:p w:rsidR="00316F12" w:rsidRPr="00162986" w:rsidRDefault="00316F12" w:rsidP="00316F12">
      <w:pPr>
        <w:pStyle w:val="Paragraphedeliste"/>
        <w:numPr>
          <w:ilvl w:val="0"/>
          <w:numId w:val="1"/>
        </w:numPr>
        <w:spacing w:before="120" w:after="120" w:line="240" w:lineRule="auto"/>
        <w:ind w:left="1702" w:hanging="284"/>
        <w:contextualSpacing w:val="0"/>
        <w:jc w:val="both"/>
        <w:rPr>
          <w:rFonts w:asciiTheme="majorBidi" w:hAnsiTheme="majorBidi" w:cstheme="majorBidi"/>
          <w:i/>
          <w:iCs/>
          <w:sz w:val="24"/>
          <w:szCs w:val="24"/>
        </w:rPr>
      </w:pPr>
      <w:r>
        <w:rPr>
          <w:rFonts w:asciiTheme="majorBidi" w:hAnsiTheme="majorBidi" w:cstheme="majorBidi"/>
          <w:i/>
          <w:iCs/>
          <w:sz w:val="24"/>
          <w:szCs w:val="24"/>
        </w:rPr>
        <w:t xml:space="preserve">La loi relative aux lois de finances : </w:t>
      </w:r>
      <w:r w:rsidRPr="00B21CF2">
        <w:rPr>
          <w:rFonts w:asciiTheme="majorBidi" w:hAnsiTheme="majorBidi" w:cstheme="majorBidi"/>
          <w:sz w:val="24"/>
          <w:szCs w:val="24"/>
        </w:rPr>
        <w:t>bien que l’article 140 de la constitution a placé celle-ci dans la catégorie des lois organiques, il est à remarquer que cette loi n’a vu le jour que jusqu’à 2018</w:t>
      </w:r>
      <w:r w:rsidRPr="00B21CF2">
        <w:rPr>
          <w:rStyle w:val="Appelnotedebasdep"/>
          <w:rFonts w:asciiTheme="majorBidi" w:hAnsiTheme="majorBidi" w:cstheme="majorBidi"/>
          <w:sz w:val="24"/>
          <w:szCs w:val="24"/>
        </w:rPr>
        <w:footnoteReference w:id="2"/>
      </w:r>
      <w:r w:rsidRPr="00B21CF2">
        <w:rPr>
          <w:rFonts w:asciiTheme="majorBidi" w:hAnsiTheme="majorBidi" w:cstheme="majorBidi"/>
          <w:sz w:val="24"/>
          <w:szCs w:val="24"/>
        </w:rPr>
        <w:t>. Cette loi organique stipule que</w:t>
      </w:r>
      <w:r>
        <w:rPr>
          <w:rFonts w:asciiTheme="majorBidi" w:hAnsiTheme="majorBidi" w:cstheme="majorBidi"/>
          <w:i/>
          <w:iCs/>
          <w:sz w:val="24"/>
          <w:szCs w:val="24"/>
        </w:rPr>
        <w:t xml:space="preserve"> </w:t>
      </w:r>
      <w:r w:rsidRPr="00162986">
        <w:rPr>
          <w:rFonts w:asciiTheme="majorBidi" w:hAnsiTheme="majorBidi" w:cstheme="majorBidi"/>
          <w:sz w:val="24"/>
          <w:szCs w:val="24"/>
        </w:rPr>
        <w:t>« </w:t>
      </w:r>
      <w:r w:rsidRPr="00162986">
        <w:rPr>
          <w:rFonts w:asciiTheme="majorBidi" w:hAnsiTheme="majorBidi" w:cstheme="majorBidi"/>
          <w:i/>
          <w:iCs/>
          <w:sz w:val="24"/>
          <w:szCs w:val="24"/>
        </w:rPr>
        <w:t>Seules les lois de finances prévoient des dispositions relatives à l’assiette, aux taux et aux modalités de recouvrement des impositions de toute nature ainsi qu’en matière d’exonération fiscale</w:t>
      </w:r>
      <w:r w:rsidRPr="00162986">
        <w:rPr>
          <w:rFonts w:asciiTheme="majorBidi" w:hAnsiTheme="majorBidi" w:cstheme="majorBidi"/>
          <w:sz w:val="24"/>
          <w:szCs w:val="24"/>
        </w:rPr>
        <w:t xml:space="preserve"> » (art. 18). </w:t>
      </w:r>
    </w:p>
    <w:p w:rsidR="00316F12" w:rsidRPr="009E552A" w:rsidRDefault="00316F12" w:rsidP="00316F12">
      <w:pPr>
        <w:pStyle w:val="Paragraphedeliste"/>
        <w:numPr>
          <w:ilvl w:val="0"/>
          <w:numId w:val="1"/>
        </w:numPr>
        <w:spacing w:before="120" w:after="120" w:line="240" w:lineRule="auto"/>
        <w:ind w:left="1702" w:hanging="284"/>
        <w:contextualSpacing w:val="0"/>
        <w:jc w:val="both"/>
        <w:rPr>
          <w:rFonts w:asciiTheme="majorBidi" w:hAnsiTheme="majorBidi" w:cstheme="majorBidi"/>
          <w:sz w:val="24"/>
          <w:szCs w:val="24"/>
        </w:rPr>
      </w:pPr>
      <w:r>
        <w:rPr>
          <w:rFonts w:asciiTheme="majorBidi" w:hAnsiTheme="majorBidi" w:cstheme="majorBidi"/>
          <w:i/>
          <w:iCs/>
          <w:sz w:val="24"/>
          <w:szCs w:val="24"/>
        </w:rPr>
        <w:t xml:space="preserve">Les codes fiscaux : </w:t>
      </w:r>
      <w:r w:rsidRPr="009E552A">
        <w:rPr>
          <w:rFonts w:asciiTheme="majorBidi" w:hAnsiTheme="majorBidi" w:cstheme="majorBidi"/>
          <w:sz w:val="24"/>
          <w:szCs w:val="24"/>
        </w:rPr>
        <w:t xml:space="preserve">Le système fiscal algérien connait 6 codes : Code des impôts directs ; Code des impôts indirects ; Code des taxes sur le chiffre d’affaires ; Code du timbre ; Code de l’enregistrement ; Code de procédures fiscales. </w:t>
      </w:r>
    </w:p>
    <w:p w:rsidR="00316F12" w:rsidRPr="00162986" w:rsidRDefault="00316F12" w:rsidP="00316F12">
      <w:pPr>
        <w:pStyle w:val="Paragraphedeliste"/>
        <w:numPr>
          <w:ilvl w:val="0"/>
          <w:numId w:val="1"/>
        </w:numPr>
        <w:spacing w:before="120" w:after="120" w:line="240" w:lineRule="auto"/>
        <w:ind w:left="1702" w:hanging="284"/>
        <w:contextualSpacing w:val="0"/>
        <w:jc w:val="both"/>
        <w:rPr>
          <w:rFonts w:asciiTheme="majorBidi" w:hAnsiTheme="majorBidi" w:cstheme="majorBidi"/>
          <w:i/>
          <w:iCs/>
          <w:sz w:val="24"/>
          <w:szCs w:val="24"/>
        </w:rPr>
      </w:pPr>
      <w:r w:rsidRPr="00162986">
        <w:rPr>
          <w:rFonts w:asciiTheme="majorBidi" w:hAnsiTheme="majorBidi" w:cstheme="majorBidi"/>
          <w:i/>
          <w:iCs/>
          <w:sz w:val="24"/>
          <w:szCs w:val="24"/>
        </w:rPr>
        <w:t xml:space="preserve">Les lois de finances : </w:t>
      </w:r>
      <w:r w:rsidRPr="00162986">
        <w:rPr>
          <w:rFonts w:asciiTheme="majorBidi" w:hAnsiTheme="majorBidi" w:cstheme="majorBidi"/>
          <w:sz w:val="24"/>
          <w:szCs w:val="24"/>
        </w:rPr>
        <w:t xml:space="preserve">La loi de finances de l’année prévoit et autorise, pour chaque année civile, l’ensemble des ressources et des charges de l’Etat… Elle constitue une source pour le droit fiscal en ce qu’elle comporte en grande partie des dispositions concernent la fiscalité contenues essentiellement dans le Chapitre II, intitulé : « Dispositions fiscales ». </w:t>
      </w:r>
      <w:r>
        <w:rPr>
          <w:rFonts w:asciiTheme="majorBidi" w:hAnsiTheme="majorBidi" w:cstheme="majorBidi"/>
          <w:sz w:val="24"/>
          <w:szCs w:val="24"/>
        </w:rPr>
        <w:t xml:space="preserve"> </w:t>
      </w:r>
    </w:p>
    <w:p w:rsidR="00316F12" w:rsidRDefault="00316F12" w:rsidP="00316F12">
      <w:pPr>
        <w:pStyle w:val="Paragraphedeliste"/>
        <w:numPr>
          <w:ilvl w:val="0"/>
          <w:numId w:val="2"/>
        </w:numPr>
        <w:spacing w:before="120" w:after="120" w:line="240" w:lineRule="auto"/>
        <w:ind w:left="0" w:firstLine="709"/>
        <w:contextualSpacing w:val="0"/>
        <w:jc w:val="both"/>
        <w:rPr>
          <w:rFonts w:asciiTheme="majorBidi" w:hAnsiTheme="majorBidi" w:cstheme="majorBidi"/>
          <w:i/>
          <w:iCs/>
          <w:sz w:val="24"/>
          <w:szCs w:val="24"/>
        </w:rPr>
      </w:pPr>
      <w:r w:rsidRPr="00162986">
        <w:rPr>
          <w:rFonts w:asciiTheme="majorBidi" w:hAnsiTheme="majorBidi" w:cstheme="majorBidi"/>
          <w:i/>
          <w:iCs/>
          <w:sz w:val="24"/>
          <w:szCs w:val="24"/>
        </w:rPr>
        <w:t xml:space="preserve">Les actes règlementaires </w:t>
      </w:r>
    </w:p>
    <w:p w:rsidR="00316F12" w:rsidRPr="008E2785" w:rsidRDefault="00316F12" w:rsidP="00316F12">
      <w:pPr>
        <w:pStyle w:val="Paragraphedeliste"/>
        <w:spacing w:before="120" w:after="120" w:line="240" w:lineRule="auto"/>
        <w:ind w:left="0" w:firstLine="709"/>
        <w:contextualSpacing w:val="0"/>
        <w:jc w:val="both"/>
        <w:rPr>
          <w:rFonts w:asciiTheme="majorBidi" w:hAnsiTheme="majorBidi" w:cstheme="majorBidi"/>
          <w:i/>
          <w:iCs/>
          <w:sz w:val="24"/>
          <w:szCs w:val="24"/>
        </w:rPr>
      </w:pPr>
      <w:r w:rsidRPr="008E2785">
        <w:rPr>
          <w:rFonts w:asciiTheme="majorBidi" w:hAnsiTheme="majorBidi" w:cstheme="majorBidi"/>
          <w:sz w:val="24"/>
          <w:szCs w:val="24"/>
        </w:rPr>
        <w:t xml:space="preserve">Le règlement en matière fiscale est pris essentiellement pour fixer les modalités d’application de certaines dispositions de la législation fiscale. Souvent c’est la loi qui renvoie aux règlements d’application la définition des modalités de sa mise en vigueur. Ces règlements prennent la forme soit d’un décret exécutif émanant du Premier ministre soit d’un arrêté interministériel ou ministériel. On retrouve souvent une disposition de la loi fiscale qui renvoie les modalités d’application au règlement en usant de la formule suivante : « </w:t>
      </w:r>
      <w:r w:rsidRPr="009E552A">
        <w:rPr>
          <w:rFonts w:asciiTheme="majorBidi" w:hAnsiTheme="majorBidi" w:cstheme="majorBidi"/>
          <w:i/>
          <w:iCs/>
          <w:sz w:val="24"/>
          <w:szCs w:val="24"/>
        </w:rPr>
        <w:t>Les modalités d’application de la présente loi seront fixés par voie réglementaire</w:t>
      </w:r>
      <w:r w:rsidRPr="008E2785">
        <w:rPr>
          <w:rFonts w:asciiTheme="majorBidi" w:hAnsiTheme="majorBidi" w:cstheme="majorBidi"/>
          <w:sz w:val="24"/>
          <w:szCs w:val="24"/>
        </w:rPr>
        <w:t xml:space="preserve"> ». </w:t>
      </w:r>
    </w:p>
    <w:p w:rsidR="00316F12" w:rsidRDefault="00316F12" w:rsidP="00316F12">
      <w:pPr>
        <w:pStyle w:val="Paragraphedeliste"/>
        <w:numPr>
          <w:ilvl w:val="0"/>
          <w:numId w:val="2"/>
        </w:numPr>
        <w:spacing w:before="120" w:after="120" w:line="240" w:lineRule="auto"/>
        <w:ind w:left="0" w:firstLine="709"/>
        <w:contextualSpacing w:val="0"/>
        <w:jc w:val="both"/>
        <w:rPr>
          <w:rFonts w:asciiTheme="majorBidi" w:hAnsiTheme="majorBidi" w:cstheme="majorBidi"/>
          <w:i/>
          <w:iCs/>
          <w:sz w:val="24"/>
          <w:szCs w:val="24"/>
        </w:rPr>
      </w:pPr>
      <w:r w:rsidRPr="00A459AE">
        <w:rPr>
          <w:rFonts w:asciiTheme="majorBidi" w:hAnsiTheme="majorBidi" w:cstheme="majorBidi"/>
          <w:i/>
          <w:iCs/>
          <w:sz w:val="24"/>
          <w:szCs w:val="24"/>
        </w:rPr>
        <w:t xml:space="preserve">La doctrine administrative fiscale </w:t>
      </w:r>
    </w:p>
    <w:p w:rsidR="00316F12" w:rsidRDefault="00316F12" w:rsidP="00316F12">
      <w:pPr>
        <w:pStyle w:val="Paragraphedeliste"/>
        <w:spacing w:before="120" w:after="120" w:line="240" w:lineRule="auto"/>
        <w:ind w:left="0" w:firstLine="709"/>
        <w:contextualSpacing w:val="0"/>
        <w:jc w:val="both"/>
        <w:rPr>
          <w:rFonts w:asciiTheme="majorBidi" w:hAnsiTheme="majorBidi" w:cstheme="majorBidi"/>
          <w:sz w:val="24"/>
          <w:szCs w:val="24"/>
        </w:rPr>
      </w:pPr>
      <w:r w:rsidRPr="008E2785">
        <w:rPr>
          <w:rFonts w:asciiTheme="majorBidi" w:hAnsiTheme="majorBidi" w:cstheme="majorBidi"/>
          <w:sz w:val="24"/>
          <w:szCs w:val="24"/>
        </w:rPr>
        <w:t xml:space="preserve">La doctrine administrative est constituée par l’ensemble des circulaires et instructions de service et autres documents administratifs par lesquels l’administration fiscale informe, explique commente et surtout interprète les dispositions fiscales. Elle est qualifiée d’infra </w:t>
      </w:r>
      <w:r w:rsidRPr="008E2785">
        <w:rPr>
          <w:rFonts w:asciiTheme="majorBidi" w:hAnsiTheme="majorBidi" w:cstheme="majorBidi"/>
          <w:sz w:val="24"/>
          <w:szCs w:val="24"/>
        </w:rPr>
        <w:lastRenderedPageBreak/>
        <w:t xml:space="preserve">juridique dans la mesure où elle ne doit pas produire de nouvelles normes ; c’est pour cette raison qu’elle ne fait pas l’objet de publication. </w:t>
      </w:r>
    </w:p>
    <w:p w:rsidR="00316F12" w:rsidRDefault="00316F12" w:rsidP="00316F12">
      <w:pPr>
        <w:pStyle w:val="Paragraphedeliste"/>
        <w:spacing w:before="120" w:after="120" w:line="240" w:lineRule="auto"/>
        <w:ind w:left="0" w:firstLine="709"/>
        <w:contextualSpacing w:val="0"/>
        <w:jc w:val="both"/>
        <w:rPr>
          <w:rFonts w:asciiTheme="majorBidi" w:hAnsiTheme="majorBidi" w:cstheme="majorBidi"/>
          <w:sz w:val="24"/>
          <w:szCs w:val="24"/>
        </w:rPr>
      </w:pPr>
      <w:r w:rsidRPr="008E2785">
        <w:rPr>
          <w:rFonts w:asciiTheme="majorBidi" w:hAnsiTheme="majorBidi" w:cstheme="majorBidi"/>
          <w:sz w:val="24"/>
          <w:szCs w:val="24"/>
        </w:rPr>
        <w:t>Cette source a été enrichie en 2012 par une nouv</w:t>
      </w:r>
      <w:r>
        <w:rPr>
          <w:rFonts w:asciiTheme="majorBidi" w:hAnsiTheme="majorBidi" w:cstheme="majorBidi"/>
          <w:sz w:val="24"/>
          <w:szCs w:val="24"/>
        </w:rPr>
        <w:t>elle mesure : le rescrit fiscal</w:t>
      </w:r>
      <w:r w:rsidRPr="008E2785">
        <w:rPr>
          <w:rFonts w:asciiTheme="majorBidi" w:hAnsiTheme="majorBidi" w:cstheme="majorBidi"/>
          <w:sz w:val="24"/>
          <w:szCs w:val="24"/>
        </w:rPr>
        <w:t xml:space="preserve">. Par cette procédure, le contribuable peut consulter par écrit l’administration fiscale à propos d’une difficulté ou d’un montage juridique envisagé. La réponse de l’administration apporte au contribuable une garantie contre tout redressement fiscal ultérieur. </w:t>
      </w:r>
    </w:p>
    <w:p w:rsidR="00316F12" w:rsidRDefault="00316F12" w:rsidP="00316F12">
      <w:pPr>
        <w:pStyle w:val="Paragraphedeliste"/>
        <w:spacing w:before="120" w:after="120" w:line="240" w:lineRule="auto"/>
        <w:ind w:left="0" w:firstLine="709"/>
        <w:contextualSpacing w:val="0"/>
        <w:jc w:val="both"/>
        <w:rPr>
          <w:rFonts w:asciiTheme="majorBidi" w:hAnsiTheme="majorBidi" w:cstheme="majorBidi"/>
          <w:sz w:val="24"/>
          <w:szCs w:val="24"/>
        </w:rPr>
      </w:pPr>
      <w:r w:rsidRPr="008E2785">
        <w:rPr>
          <w:rFonts w:asciiTheme="majorBidi" w:hAnsiTheme="majorBidi" w:cstheme="majorBidi"/>
          <w:sz w:val="24"/>
          <w:szCs w:val="24"/>
        </w:rPr>
        <w:t>L’intérêt du rescrit réside essentiellement dans le fait que l’administration, après avoir donné son accord ou son avis formel ou implicite, elle ne pourra procéder à aucun redressement d’imposition par la suite.</w:t>
      </w:r>
    </w:p>
    <w:p w:rsidR="00316F12" w:rsidRDefault="00316F12" w:rsidP="00316F12">
      <w:pPr>
        <w:spacing w:before="240" w:after="240" w:line="240" w:lineRule="auto"/>
        <w:ind w:firstLine="709"/>
        <w:jc w:val="both"/>
        <w:rPr>
          <w:rFonts w:asciiTheme="majorBidi" w:hAnsiTheme="majorBidi" w:cstheme="majorBidi"/>
          <w:sz w:val="24"/>
          <w:szCs w:val="24"/>
        </w:rPr>
      </w:pPr>
      <w:r w:rsidRPr="00166FA0">
        <w:rPr>
          <w:rFonts w:asciiTheme="majorBidi" w:hAnsiTheme="majorBidi" w:cstheme="majorBidi"/>
          <w:b/>
          <w:bCs/>
          <w:sz w:val="24"/>
          <w:szCs w:val="24"/>
        </w:rPr>
        <w:t xml:space="preserve">Section </w:t>
      </w:r>
      <w:r>
        <w:rPr>
          <w:rFonts w:asciiTheme="majorBidi" w:hAnsiTheme="majorBidi" w:cstheme="majorBidi"/>
          <w:b/>
          <w:bCs/>
          <w:sz w:val="24"/>
          <w:szCs w:val="24"/>
        </w:rPr>
        <w:t>2</w:t>
      </w:r>
      <w:r w:rsidRPr="00166FA0">
        <w:rPr>
          <w:rFonts w:asciiTheme="majorBidi" w:hAnsiTheme="majorBidi" w:cstheme="majorBidi"/>
          <w:b/>
          <w:bCs/>
          <w:sz w:val="24"/>
          <w:szCs w:val="24"/>
        </w:rPr>
        <w:t xml:space="preserve"> :</w:t>
      </w:r>
      <w:r w:rsidRPr="00166FA0">
        <w:rPr>
          <w:rFonts w:asciiTheme="majorBidi" w:hAnsiTheme="majorBidi" w:cstheme="majorBidi"/>
          <w:sz w:val="24"/>
          <w:szCs w:val="24"/>
        </w:rPr>
        <w:t xml:space="preserve"> Les sources </w:t>
      </w:r>
      <w:r>
        <w:rPr>
          <w:rFonts w:asciiTheme="majorBidi" w:hAnsiTheme="majorBidi" w:cstheme="majorBidi"/>
          <w:sz w:val="24"/>
          <w:szCs w:val="24"/>
        </w:rPr>
        <w:t>doctrinales</w:t>
      </w:r>
      <w:r w:rsidRPr="00166FA0">
        <w:rPr>
          <w:rFonts w:asciiTheme="majorBidi" w:hAnsiTheme="majorBidi" w:cstheme="majorBidi"/>
          <w:sz w:val="24"/>
          <w:szCs w:val="24"/>
        </w:rPr>
        <w:t xml:space="preserve"> du droit fiscal international </w:t>
      </w:r>
    </w:p>
    <w:p w:rsidR="00316F12" w:rsidRPr="00166FA0" w:rsidRDefault="00316F12" w:rsidP="00316F12">
      <w:pPr>
        <w:spacing w:before="240" w:after="240"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Il s’agit des travaux de certaines organisations internationales (comme la </w:t>
      </w:r>
      <w:r w:rsidRPr="008F6DD3">
        <w:rPr>
          <w:rFonts w:asciiTheme="majorBidi" w:hAnsiTheme="majorBidi" w:cstheme="majorBidi"/>
          <w:smallCaps/>
          <w:sz w:val="24"/>
          <w:szCs w:val="24"/>
        </w:rPr>
        <w:t>Sdn, Onu</w:t>
      </w:r>
      <w:r>
        <w:rPr>
          <w:rFonts w:asciiTheme="majorBidi" w:hAnsiTheme="majorBidi" w:cstheme="majorBidi"/>
          <w:sz w:val="24"/>
          <w:szCs w:val="24"/>
        </w:rPr>
        <w:t xml:space="preserve"> et </w:t>
      </w:r>
      <w:r w:rsidRPr="008F6DD3">
        <w:rPr>
          <w:rFonts w:asciiTheme="majorBidi" w:hAnsiTheme="majorBidi" w:cstheme="majorBidi"/>
          <w:smallCaps/>
          <w:sz w:val="24"/>
          <w:szCs w:val="24"/>
        </w:rPr>
        <w:t>Ocde</w:t>
      </w:r>
      <w:r>
        <w:rPr>
          <w:rFonts w:asciiTheme="majorBidi" w:hAnsiTheme="majorBidi" w:cstheme="majorBidi"/>
          <w:sz w:val="24"/>
          <w:szCs w:val="24"/>
        </w:rPr>
        <w:t xml:space="preserve">) dans l’élaboration d’un modèle de convention fiscale. </w:t>
      </w:r>
    </w:p>
    <w:p w:rsidR="00316F12" w:rsidRPr="00EE399D" w:rsidRDefault="00316F12" w:rsidP="00316F12">
      <w:pPr>
        <w:pStyle w:val="Paragraphedeliste"/>
        <w:numPr>
          <w:ilvl w:val="0"/>
          <w:numId w:val="1"/>
        </w:numPr>
        <w:spacing w:before="120" w:after="120" w:line="240" w:lineRule="auto"/>
        <w:jc w:val="both"/>
        <w:rPr>
          <w:rFonts w:asciiTheme="majorBidi" w:hAnsiTheme="majorBidi" w:cstheme="majorBidi"/>
          <w:i/>
          <w:iCs/>
          <w:sz w:val="24"/>
          <w:szCs w:val="24"/>
        </w:rPr>
      </w:pPr>
      <w:r w:rsidRPr="00EE399D">
        <w:rPr>
          <w:rFonts w:asciiTheme="majorBidi" w:hAnsiTheme="majorBidi" w:cstheme="majorBidi"/>
          <w:i/>
          <w:iCs/>
          <w:sz w:val="24"/>
          <w:szCs w:val="24"/>
        </w:rPr>
        <w:t xml:space="preserve">Le rôle de la </w:t>
      </w:r>
      <w:r w:rsidRPr="00EE399D">
        <w:rPr>
          <w:rFonts w:asciiTheme="majorBidi" w:hAnsiTheme="majorBidi" w:cstheme="majorBidi"/>
          <w:i/>
          <w:iCs/>
          <w:smallCaps/>
          <w:sz w:val="24"/>
          <w:szCs w:val="24"/>
        </w:rPr>
        <w:t>Sdn</w:t>
      </w:r>
      <w:r w:rsidRPr="00EE399D">
        <w:rPr>
          <w:rFonts w:asciiTheme="majorBidi" w:hAnsiTheme="majorBidi" w:cstheme="majorBidi"/>
          <w:i/>
          <w:iCs/>
          <w:sz w:val="24"/>
          <w:szCs w:val="24"/>
        </w:rPr>
        <w:t xml:space="preserve"> dans l’élaboration d’un premier modèle de convention  </w:t>
      </w:r>
    </w:p>
    <w:p w:rsidR="00316F12" w:rsidRPr="00FF2A2C" w:rsidRDefault="00316F12" w:rsidP="00316F12">
      <w:pPr>
        <w:spacing w:before="120" w:after="120" w:line="240" w:lineRule="auto"/>
        <w:ind w:firstLine="709"/>
        <w:jc w:val="both"/>
        <w:rPr>
          <w:rFonts w:asciiTheme="majorBidi" w:hAnsiTheme="majorBidi" w:cstheme="majorBidi"/>
          <w:sz w:val="24"/>
          <w:szCs w:val="24"/>
        </w:rPr>
      </w:pPr>
      <w:r w:rsidRPr="00FF2A2C">
        <w:rPr>
          <w:rFonts w:asciiTheme="majorBidi" w:hAnsiTheme="majorBidi" w:cstheme="majorBidi"/>
          <w:sz w:val="24"/>
          <w:szCs w:val="24"/>
        </w:rPr>
        <w:t>L’intérêt des organisations internationales pour les questions fiscales a commencé dès les années 1920, grâce aux travaux entrepris tout d’abord par la Société des Nations (</w:t>
      </w:r>
      <w:r w:rsidRPr="00213E38">
        <w:rPr>
          <w:rFonts w:asciiTheme="majorBidi" w:hAnsiTheme="majorBidi" w:cstheme="majorBidi"/>
          <w:smallCaps/>
          <w:sz w:val="24"/>
          <w:szCs w:val="24"/>
        </w:rPr>
        <w:t>Sdn</w:t>
      </w:r>
      <w:r w:rsidRPr="00FF2A2C">
        <w:rPr>
          <w:rFonts w:asciiTheme="majorBidi" w:hAnsiTheme="majorBidi" w:cstheme="majorBidi"/>
          <w:sz w:val="24"/>
          <w:szCs w:val="24"/>
        </w:rPr>
        <w:t>)</w:t>
      </w:r>
      <w:r w:rsidRPr="00FF2A2C">
        <w:rPr>
          <w:rStyle w:val="Appelnotedebasdep"/>
          <w:rFonts w:asciiTheme="majorBidi" w:hAnsiTheme="majorBidi" w:cstheme="majorBidi"/>
          <w:sz w:val="24"/>
          <w:szCs w:val="24"/>
        </w:rPr>
        <w:footnoteReference w:id="3"/>
      </w:r>
      <w:r w:rsidRPr="00FF2A2C">
        <w:rPr>
          <w:rFonts w:asciiTheme="majorBidi" w:hAnsiTheme="majorBidi" w:cstheme="majorBidi"/>
          <w:sz w:val="24"/>
          <w:szCs w:val="24"/>
        </w:rPr>
        <w:t xml:space="preserve">. Bien que son objet principal soit de garantir la paix sur la scène internationale, la </w:t>
      </w:r>
      <w:r w:rsidRPr="00213E38">
        <w:rPr>
          <w:rFonts w:asciiTheme="majorBidi" w:hAnsiTheme="majorBidi" w:cstheme="majorBidi"/>
          <w:smallCaps/>
          <w:sz w:val="24"/>
          <w:szCs w:val="24"/>
        </w:rPr>
        <w:t>Sdn</w:t>
      </w:r>
      <w:r w:rsidRPr="00FF2A2C">
        <w:rPr>
          <w:rFonts w:asciiTheme="majorBidi" w:hAnsiTheme="majorBidi" w:cstheme="majorBidi"/>
          <w:sz w:val="24"/>
          <w:szCs w:val="24"/>
        </w:rPr>
        <w:t xml:space="preserve"> s’intéressait aussi aux questions fiscales à travers son groupe d’expert du comité financier. </w:t>
      </w:r>
    </w:p>
    <w:p w:rsidR="00316F12" w:rsidRPr="00FF2A2C" w:rsidRDefault="00316F12" w:rsidP="00316F12">
      <w:pPr>
        <w:spacing w:before="120" w:after="120" w:line="240" w:lineRule="auto"/>
        <w:ind w:firstLine="709"/>
        <w:jc w:val="both"/>
        <w:rPr>
          <w:rFonts w:asciiTheme="majorBidi" w:hAnsiTheme="majorBidi" w:cstheme="majorBidi"/>
          <w:sz w:val="24"/>
          <w:szCs w:val="24"/>
        </w:rPr>
      </w:pPr>
      <w:r>
        <w:rPr>
          <w:rFonts w:asciiTheme="majorBidi" w:hAnsiTheme="majorBidi" w:cstheme="majorBidi"/>
          <w:sz w:val="24"/>
          <w:szCs w:val="24"/>
        </w:rPr>
        <w:t>Ce qui a favorisé son rôle c’est d’un côté l’e</w:t>
      </w:r>
      <w:r w:rsidRPr="00FF2A2C">
        <w:rPr>
          <w:rFonts w:asciiTheme="majorBidi" w:hAnsiTheme="majorBidi" w:cstheme="majorBidi"/>
          <w:sz w:val="24"/>
          <w:szCs w:val="24"/>
        </w:rPr>
        <w:t xml:space="preserve">nvironnement économique mis à mal par la première guerre mondiale (problèmes de double imposition, d’insuffisance d’imposition et explosion des charges fiscales causée par les coûts de guerre et de reconstruction). </w:t>
      </w:r>
      <w:r>
        <w:rPr>
          <w:rFonts w:asciiTheme="majorBidi" w:hAnsiTheme="majorBidi" w:cstheme="majorBidi"/>
          <w:sz w:val="24"/>
          <w:szCs w:val="24"/>
        </w:rPr>
        <w:t xml:space="preserve">Et d’un autre côté, l’insuffisance d’instruments internationaux régissant les problèmes fiscaux. </w:t>
      </w:r>
    </w:p>
    <w:p w:rsidR="00316F12" w:rsidRPr="000273E7" w:rsidRDefault="00316F12" w:rsidP="00316F12">
      <w:pPr>
        <w:spacing w:before="120" w:after="120" w:line="240" w:lineRule="auto"/>
        <w:ind w:firstLine="709"/>
        <w:jc w:val="both"/>
        <w:rPr>
          <w:rFonts w:asciiTheme="majorBidi" w:hAnsiTheme="majorBidi" w:cstheme="majorBidi"/>
          <w:sz w:val="24"/>
          <w:szCs w:val="24"/>
        </w:rPr>
      </w:pPr>
      <w:r w:rsidRPr="00FB305F">
        <w:rPr>
          <w:rFonts w:asciiTheme="majorBidi" w:hAnsiTheme="majorBidi" w:cstheme="majorBidi"/>
          <w:sz w:val="24"/>
          <w:szCs w:val="24"/>
        </w:rPr>
        <w:t>C</w:t>
      </w:r>
      <w:r>
        <w:rPr>
          <w:rFonts w:asciiTheme="majorBidi" w:hAnsiTheme="majorBidi" w:cstheme="majorBidi"/>
          <w:sz w:val="24"/>
          <w:szCs w:val="24"/>
        </w:rPr>
        <w:t xml:space="preserve">’est ainsi qu’en 1928, la </w:t>
      </w:r>
      <w:r w:rsidRPr="00B76B52">
        <w:rPr>
          <w:rFonts w:asciiTheme="majorBidi" w:hAnsiTheme="majorBidi" w:cstheme="majorBidi"/>
          <w:smallCaps/>
          <w:sz w:val="24"/>
          <w:szCs w:val="24"/>
        </w:rPr>
        <w:t>Sdn</w:t>
      </w:r>
      <w:r>
        <w:rPr>
          <w:rFonts w:asciiTheme="majorBidi" w:hAnsiTheme="majorBidi" w:cstheme="majorBidi"/>
          <w:sz w:val="24"/>
          <w:szCs w:val="24"/>
        </w:rPr>
        <w:t xml:space="preserve"> a </w:t>
      </w:r>
      <w:r w:rsidRPr="00FB305F">
        <w:rPr>
          <w:rFonts w:asciiTheme="majorBidi" w:hAnsiTheme="majorBidi" w:cstheme="majorBidi"/>
          <w:sz w:val="24"/>
          <w:szCs w:val="24"/>
        </w:rPr>
        <w:t>élabor</w:t>
      </w:r>
      <w:r>
        <w:rPr>
          <w:rFonts w:asciiTheme="majorBidi" w:hAnsiTheme="majorBidi" w:cstheme="majorBidi"/>
          <w:sz w:val="24"/>
          <w:szCs w:val="24"/>
        </w:rPr>
        <w:t xml:space="preserve">é </w:t>
      </w:r>
      <w:r w:rsidRPr="00FB305F">
        <w:rPr>
          <w:rFonts w:asciiTheme="majorBidi" w:hAnsiTheme="majorBidi" w:cstheme="majorBidi"/>
          <w:sz w:val="24"/>
          <w:szCs w:val="24"/>
        </w:rPr>
        <w:t xml:space="preserve">six projets de conventions bilatérales dont quatre concernent la double imposition et deux sur l’évasion fiscale. C’est ainsi que pour la première fois, un texte de type « mondial » a été proposé dans le but d’unifier les </w:t>
      </w:r>
      <w:r w:rsidRPr="000273E7">
        <w:rPr>
          <w:rFonts w:asciiTheme="majorBidi" w:hAnsiTheme="majorBidi" w:cstheme="majorBidi"/>
          <w:sz w:val="24"/>
          <w:szCs w:val="24"/>
        </w:rPr>
        <w:t>règles fiscales internationales.</w:t>
      </w:r>
    </w:p>
    <w:p w:rsidR="00316F12" w:rsidRDefault="00316F12" w:rsidP="00316F12">
      <w:pPr>
        <w:spacing w:before="120" w:after="120" w:line="240" w:lineRule="auto"/>
        <w:ind w:firstLine="709"/>
        <w:jc w:val="both"/>
        <w:rPr>
          <w:rFonts w:asciiTheme="majorBidi" w:hAnsiTheme="majorBidi" w:cstheme="majorBidi"/>
          <w:sz w:val="24"/>
          <w:szCs w:val="24"/>
        </w:rPr>
      </w:pPr>
      <w:r w:rsidRPr="00211A9D">
        <w:rPr>
          <w:rFonts w:asciiTheme="majorBidi" w:hAnsiTheme="majorBidi" w:cstheme="majorBidi"/>
          <w:sz w:val="24"/>
          <w:szCs w:val="24"/>
        </w:rPr>
        <w:t xml:space="preserve">Ceci dit, ces modèles ont fait l’objet de beaucoup de </w:t>
      </w:r>
      <w:r>
        <w:rPr>
          <w:rFonts w:asciiTheme="majorBidi" w:hAnsiTheme="majorBidi" w:cstheme="majorBidi"/>
          <w:sz w:val="24"/>
          <w:szCs w:val="24"/>
        </w:rPr>
        <w:t>critiques</w:t>
      </w:r>
      <w:r w:rsidRPr="00211A9D">
        <w:rPr>
          <w:rFonts w:asciiTheme="majorBidi" w:hAnsiTheme="majorBidi" w:cstheme="majorBidi"/>
          <w:sz w:val="24"/>
          <w:szCs w:val="24"/>
        </w:rPr>
        <w:t xml:space="preserve"> </w:t>
      </w:r>
      <w:r>
        <w:rPr>
          <w:rFonts w:asciiTheme="majorBidi" w:hAnsiTheme="majorBidi" w:cstheme="majorBidi"/>
          <w:sz w:val="24"/>
          <w:szCs w:val="24"/>
        </w:rPr>
        <w:t xml:space="preserve">puisqu’ils </w:t>
      </w:r>
      <w:r w:rsidRPr="00211A9D">
        <w:rPr>
          <w:rFonts w:asciiTheme="majorBidi" w:hAnsiTheme="majorBidi" w:cstheme="majorBidi"/>
          <w:sz w:val="24"/>
          <w:szCs w:val="24"/>
        </w:rPr>
        <w:t>offraient la</w:t>
      </w:r>
      <w:r w:rsidRPr="000273E7">
        <w:rPr>
          <w:rFonts w:asciiTheme="majorBidi" w:hAnsiTheme="majorBidi" w:cstheme="majorBidi"/>
          <w:sz w:val="24"/>
          <w:szCs w:val="24"/>
        </w:rPr>
        <w:t xml:space="preserve"> possibilité aux Etats contractants</w:t>
      </w:r>
      <w:r>
        <w:rPr>
          <w:rFonts w:asciiTheme="majorBidi" w:hAnsiTheme="majorBidi" w:cstheme="majorBidi"/>
          <w:sz w:val="24"/>
          <w:szCs w:val="24"/>
        </w:rPr>
        <w:t xml:space="preserve"> le droit </w:t>
      </w:r>
      <w:r w:rsidRPr="000273E7">
        <w:rPr>
          <w:rFonts w:asciiTheme="majorBidi" w:hAnsiTheme="majorBidi" w:cstheme="majorBidi"/>
          <w:sz w:val="24"/>
          <w:szCs w:val="24"/>
        </w:rPr>
        <w:t xml:space="preserve">de préserver le secret bancaire. Cette limite à l’assistance fiscale a conduit le Comité fiscal de la </w:t>
      </w:r>
      <w:r w:rsidRPr="00B667E5">
        <w:rPr>
          <w:rFonts w:asciiTheme="majorBidi" w:hAnsiTheme="majorBidi" w:cstheme="majorBidi"/>
          <w:smallCaps/>
          <w:sz w:val="24"/>
          <w:szCs w:val="24"/>
        </w:rPr>
        <w:t>S</w:t>
      </w:r>
      <w:r>
        <w:rPr>
          <w:rFonts w:asciiTheme="majorBidi" w:hAnsiTheme="majorBidi" w:cstheme="majorBidi"/>
          <w:smallCaps/>
          <w:sz w:val="24"/>
          <w:szCs w:val="24"/>
        </w:rPr>
        <w:t>dn</w:t>
      </w:r>
      <w:r w:rsidRPr="000273E7">
        <w:rPr>
          <w:rFonts w:asciiTheme="majorBidi" w:hAnsiTheme="majorBidi" w:cstheme="majorBidi"/>
          <w:sz w:val="24"/>
          <w:szCs w:val="24"/>
        </w:rPr>
        <w:t xml:space="preserve"> -créé en 1928- à l’élaboration des Modèles de Mexico (1943) et de Londres (1946)</w:t>
      </w:r>
      <w:r w:rsidRPr="000273E7">
        <w:rPr>
          <w:rStyle w:val="Appelnotedebasdep"/>
          <w:rFonts w:asciiTheme="majorBidi" w:hAnsiTheme="majorBidi" w:cstheme="majorBidi"/>
          <w:sz w:val="24"/>
          <w:szCs w:val="24"/>
        </w:rPr>
        <w:footnoteReference w:id="4"/>
      </w:r>
      <w:r w:rsidRPr="000273E7">
        <w:rPr>
          <w:rFonts w:asciiTheme="majorBidi" w:hAnsiTheme="majorBidi" w:cstheme="majorBidi"/>
          <w:sz w:val="24"/>
          <w:szCs w:val="24"/>
        </w:rPr>
        <w:t>.</w:t>
      </w:r>
    </w:p>
    <w:p w:rsidR="00316F12" w:rsidRPr="005028EB" w:rsidRDefault="00316F12" w:rsidP="00316F12">
      <w:pPr>
        <w:pStyle w:val="Paragraphedeliste"/>
        <w:numPr>
          <w:ilvl w:val="0"/>
          <w:numId w:val="1"/>
        </w:numPr>
        <w:spacing w:before="240" w:after="120" w:line="240" w:lineRule="auto"/>
        <w:ind w:left="1066" w:hanging="357"/>
        <w:contextualSpacing w:val="0"/>
        <w:jc w:val="both"/>
        <w:rPr>
          <w:rFonts w:asciiTheme="majorBidi" w:hAnsiTheme="majorBidi" w:cstheme="majorBidi"/>
          <w:i/>
          <w:iCs/>
          <w:sz w:val="24"/>
          <w:szCs w:val="24"/>
        </w:rPr>
      </w:pPr>
      <w:r w:rsidRPr="005028EB">
        <w:rPr>
          <w:rFonts w:asciiTheme="majorBidi" w:hAnsiTheme="majorBidi" w:cstheme="majorBidi"/>
          <w:i/>
          <w:iCs/>
          <w:sz w:val="24"/>
          <w:szCs w:val="24"/>
        </w:rPr>
        <w:t>L</w:t>
      </w:r>
      <w:r>
        <w:rPr>
          <w:rFonts w:asciiTheme="majorBidi" w:hAnsiTheme="majorBidi" w:cstheme="majorBidi"/>
          <w:i/>
          <w:iCs/>
          <w:sz w:val="24"/>
          <w:szCs w:val="24"/>
        </w:rPr>
        <w:t>e modèle de l</w:t>
      </w:r>
      <w:r w:rsidRPr="005028EB">
        <w:rPr>
          <w:rFonts w:asciiTheme="majorBidi" w:hAnsiTheme="majorBidi" w:cstheme="majorBidi"/>
          <w:i/>
          <w:iCs/>
          <w:sz w:val="24"/>
          <w:szCs w:val="24"/>
        </w:rPr>
        <w:t>’</w:t>
      </w:r>
      <w:r w:rsidRPr="005028EB">
        <w:rPr>
          <w:rFonts w:asciiTheme="majorBidi" w:hAnsiTheme="majorBidi" w:cstheme="majorBidi"/>
          <w:i/>
          <w:iCs/>
          <w:smallCaps/>
          <w:sz w:val="24"/>
          <w:szCs w:val="24"/>
        </w:rPr>
        <w:t>Onu</w:t>
      </w:r>
      <w:r w:rsidRPr="005028EB">
        <w:rPr>
          <w:rFonts w:asciiTheme="majorBidi" w:hAnsiTheme="majorBidi" w:cstheme="majorBidi"/>
          <w:i/>
          <w:iCs/>
          <w:sz w:val="24"/>
          <w:szCs w:val="24"/>
        </w:rPr>
        <w:t xml:space="preserve"> </w:t>
      </w:r>
      <w:r>
        <w:rPr>
          <w:rFonts w:asciiTheme="majorBidi" w:hAnsiTheme="majorBidi" w:cstheme="majorBidi"/>
          <w:i/>
          <w:iCs/>
          <w:sz w:val="24"/>
          <w:szCs w:val="24"/>
        </w:rPr>
        <w:t xml:space="preserve">favorisant l’imposition des pays en développement </w:t>
      </w:r>
    </w:p>
    <w:p w:rsidR="00316F12" w:rsidRPr="005028EB" w:rsidRDefault="00316F12" w:rsidP="00316F12">
      <w:pPr>
        <w:spacing w:before="120" w:after="120" w:line="240" w:lineRule="auto"/>
        <w:ind w:firstLine="709"/>
        <w:jc w:val="both"/>
        <w:rPr>
          <w:rFonts w:asciiTheme="majorBidi" w:hAnsiTheme="majorBidi" w:cstheme="majorBidi"/>
          <w:sz w:val="24"/>
          <w:szCs w:val="24"/>
        </w:rPr>
      </w:pPr>
      <w:r w:rsidRPr="00EE399D">
        <w:rPr>
          <w:rFonts w:asciiTheme="majorBidi" w:hAnsiTheme="majorBidi" w:cstheme="majorBidi"/>
          <w:sz w:val="24"/>
          <w:szCs w:val="24"/>
        </w:rPr>
        <w:t>Créée à la fin de la seconde guerre mondiale, précisément le 26 juin 1945, l’</w:t>
      </w:r>
      <w:r w:rsidRPr="00EE399D">
        <w:rPr>
          <w:rFonts w:asciiTheme="majorBidi" w:hAnsiTheme="majorBidi" w:cstheme="majorBidi"/>
          <w:smallCaps/>
          <w:sz w:val="24"/>
          <w:szCs w:val="24"/>
        </w:rPr>
        <w:t>Onu</w:t>
      </w:r>
      <w:r w:rsidRPr="00EE399D">
        <w:rPr>
          <w:rFonts w:asciiTheme="majorBidi" w:hAnsiTheme="majorBidi" w:cstheme="majorBidi"/>
          <w:sz w:val="24"/>
          <w:szCs w:val="24"/>
        </w:rPr>
        <w:t xml:space="preserve"> s’est également intéressée à produire des normes fiscales internationales. </w:t>
      </w:r>
      <w:r>
        <w:rPr>
          <w:rFonts w:asciiTheme="majorBidi" w:hAnsiTheme="majorBidi" w:cstheme="majorBidi"/>
          <w:sz w:val="24"/>
          <w:szCs w:val="24"/>
        </w:rPr>
        <w:t>Son</w:t>
      </w:r>
      <w:r w:rsidRPr="00EE399D">
        <w:rPr>
          <w:rFonts w:asciiTheme="majorBidi" w:hAnsiTheme="majorBidi" w:cstheme="majorBidi"/>
          <w:sz w:val="24"/>
          <w:szCs w:val="24"/>
        </w:rPr>
        <w:t xml:space="preserve"> premier modèle de convention </w:t>
      </w:r>
      <w:r>
        <w:rPr>
          <w:rFonts w:asciiTheme="majorBidi" w:hAnsiTheme="majorBidi" w:cstheme="majorBidi"/>
          <w:sz w:val="24"/>
          <w:szCs w:val="24"/>
        </w:rPr>
        <w:t xml:space="preserve">intitulé </w:t>
      </w:r>
      <w:r w:rsidRPr="00EE399D">
        <w:rPr>
          <w:rFonts w:asciiTheme="majorBidi" w:hAnsiTheme="majorBidi" w:cstheme="majorBidi"/>
          <w:sz w:val="24"/>
          <w:szCs w:val="24"/>
        </w:rPr>
        <w:t xml:space="preserve">« </w:t>
      </w:r>
      <w:r w:rsidRPr="00EE399D">
        <w:rPr>
          <w:rFonts w:asciiTheme="majorBidi" w:hAnsiTheme="majorBidi" w:cstheme="majorBidi"/>
          <w:i/>
          <w:iCs/>
          <w:sz w:val="24"/>
          <w:szCs w:val="24"/>
        </w:rPr>
        <w:t>Modèle de convention des Nations-Unies concernant les doubles impositions entre pays développés et pays en développement</w:t>
      </w:r>
      <w:r w:rsidRPr="00EE399D">
        <w:rPr>
          <w:rFonts w:asciiTheme="majorBidi" w:hAnsiTheme="majorBidi" w:cstheme="majorBidi"/>
          <w:sz w:val="24"/>
          <w:szCs w:val="24"/>
        </w:rPr>
        <w:t xml:space="preserve"> »</w:t>
      </w:r>
      <w:r>
        <w:rPr>
          <w:rFonts w:asciiTheme="majorBidi" w:hAnsiTheme="majorBidi" w:cstheme="majorBidi"/>
          <w:sz w:val="24"/>
          <w:szCs w:val="24"/>
        </w:rPr>
        <w:t xml:space="preserve"> </w:t>
      </w:r>
      <w:r w:rsidRPr="00EE399D">
        <w:rPr>
          <w:rFonts w:asciiTheme="majorBidi" w:hAnsiTheme="majorBidi" w:cstheme="majorBidi"/>
          <w:sz w:val="24"/>
          <w:szCs w:val="24"/>
        </w:rPr>
        <w:t>a été publié en</w:t>
      </w:r>
      <w:r>
        <w:rPr>
          <w:rFonts w:asciiTheme="majorBidi" w:hAnsiTheme="majorBidi" w:cstheme="majorBidi"/>
          <w:sz w:val="24"/>
          <w:szCs w:val="24"/>
        </w:rPr>
        <w:t xml:space="preserve"> 1980. Toutefois, </w:t>
      </w:r>
      <w:r w:rsidRPr="00EE399D">
        <w:rPr>
          <w:rFonts w:asciiTheme="majorBidi" w:hAnsiTheme="majorBidi" w:cstheme="majorBidi"/>
          <w:sz w:val="24"/>
          <w:szCs w:val="24"/>
        </w:rPr>
        <w:t xml:space="preserve">vue sa portée très limitée </w:t>
      </w:r>
      <w:r>
        <w:rPr>
          <w:rFonts w:asciiTheme="majorBidi" w:hAnsiTheme="majorBidi" w:cstheme="majorBidi"/>
          <w:sz w:val="24"/>
          <w:szCs w:val="24"/>
        </w:rPr>
        <w:t xml:space="preserve">dans la </w:t>
      </w:r>
      <w:r w:rsidRPr="005028EB">
        <w:rPr>
          <w:rFonts w:asciiTheme="majorBidi" w:hAnsiTheme="majorBidi" w:cstheme="majorBidi"/>
          <w:sz w:val="24"/>
          <w:szCs w:val="24"/>
        </w:rPr>
        <w:t xml:space="preserve">mesure où il avait exclue de son champ d’application la coopération fiscale internationale, ce modèle a été revue par la suite pour être publier en 2001. </w:t>
      </w:r>
      <w:r>
        <w:rPr>
          <w:rFonts w:asciiTheme="majorBidi" w:hAnsiTheme="majorBidi" w:cstheme="majorBidi"/>
          <w:sz w:val="24"/>
          <w:szCs w:val="24"/>
        </w:rPr>
        <w:t xml:space="preserve"> </w:t>
      </w:r>
    </w:p>
    <w:p w:rsidR="00316F12" w:rsidRDefault="00316F12" w:rsidP="00316F12">
      <w:pPr>
        <w:spacing w:before="120" w:after="120" w:line="240" w:lineRule="auto"/>
        <w:ind w:firstLine="709"/>
        <w:jc w:val="both"/>
        <w:rPr>
          <w:rFonts w:asciiTheme="majorBidi" w:hAnsiTheme="majorBidi" w:cstheme="majorBidi"/>
          <w:sz w:val="24"/>
          <w:szCs w:val="24"/>
        </w:rPr>
      </w:pPr>
      <w:r w:rsidRPr="005028EB">
        <w:rPr>
          <w:rFonts w:asciiTheme="majorBidi" w:hAnsiTheme="majorBidi" w:cstheme="majorBidi"/>
          <w:sz w:val="24"/>
          <w:szCs w:val="24"/>
        </w:rPr>
        <w:lastRenderedPageBreak/>
        <w:t>Contrairement aux autres modèles, celui de l’</w:t>
      </w:r>
      <w:r w:rsidRPr="00213E38">
        <w:rPr>
          <w:rFonts w:asciiTheme="majorBidi" w:hAnsiTheme="majorBidi" w:cstheme="majorBidi"/>
          <w:smallCaps/>
          <w:sz w:val="24"/>
          <w:szCs w:val="24"/>
        </w:rPr>
        <w:t>Onu</w:t>
      </w:r>
      <w:r w:rsidRPr="005028EB">
        <w:rPr>
          <w:rFonts w:asciiTheme="majorBidi" w:hAnsiTheme="majorBidi" w:cstheme="majorBidi"/>
          <w:sz w:val="24"/>
          <w:szCs w:val="24"/>
        </w:rPr>
        <w:t xml:space="preserve"> répond </w:t>
      </w:r>
      <w:r>
        <w:rPr>
          <w:rFonts w:asciiTheme="majorBidi" w:hAnsiTheme="majorBidi" w:cstheme="majorBidi"/>
          <w:sz w:val="24"/>
          <w:szCs w:val="24"/>
        </w:rPr>
        <w:t>aux</w:t>
      </w:r>
      <w:r w:rsidRPr="005028EB">
        <w:rPr>
          <w:rFonts w:asciiTheme="majorBidi" w:hAnsiTheme="majorBidi" w:cstheme="majorBidi"/>
          <w:sz w:val="24"/>
          <w:szCs w:val="24"/>
        </w:rPr>
        <w:t xml:space="preserve"> deux problèmes </w:t>
      </w:r>
      <w:r>
        <w:rPr>
          <w:rFonts w:asciiTheme="majorBidi" w:hAnsiTheme="majorBidi" w:cstheme="majorBidi"/>
          <w:sz w:val="24"/>
          <w:szCs w:val="24"/>
        </w:rPr>
        <w:t xml:space="preserve"> </w:t>
      </w:r>
      <w:r w:rsidRPr="005028EB">
        <w:rPr>
          <w:rFonts w:asciiTheme="majorBidi" w:hAnsiTheme="majorBidi" w:cstheme="majorBidi"/>
          <w:sz w:val="24"/>
          <w:szCs w:val="24"/>
        </w:rPr>
        <w:t>fiscaux</w:t>
      </w:r>
      <w:r>
        <w:rPr>
          <w:rFonts w:asciiTheme="majorBidi" w:hAnsiTheme="majorBidi" w:cstheme="majorBidi"/>
          <w:sz w:val="24"/>
          <w:szCs w:val="24"/>
        </w:rPr>
        <w:t xml:space="preserve">, à </w:t>
      </w:r>
      <w:r w:rsidRPr="00FA1B24">
        <w:rPr>
          <w:rFonts w:asciiTheme="majorBidi" w:hAnsiTheme="majorBidi" w:cstheme="majorBidi"/>
          <w:sz w:val="24"/>
          <w:szCs w:val="24"/>
        </w:rPr>
        <w:t>savoir la double imposition et l’évasion fiscale. En matière de droit d’imposition, celui-ci accorde un intérêt spécial pour l’Etat de source des bénéfices, ce qui le rend d’une nature particulière. En effet, contrairement aux autres Modèles, celui de l’</w:t>
      </w:r>
      <w:r w:rsidRPr="00213E38">
        <w:rPr>
          <w:rFonts w:asciiTheme="majorBidi" w:hAnsiTheme="majorBidi" w:cstheme="majorBidi"/>
          <w:smallCaps/>
          <w:sz w:val="24"/>
          <w:szCs w:val="24"/>
        </w:rPr>
        <w:t>Onu</w:t>
      </w:r>
      <w:r w:rsidRPr="00FA1B24">
        <w:rPr>
          <w:rFonts w:asciiTheme="majorBidi" w:hAnsiTheme="majorBidi" w:cstheme="majorBidi"/>
          <w:sz w:val="24"/>
          <w:szCs w:val="24"/>
        </w:rPr>
        <w:t xml:space="preserve"> est généralement favorable à ce que, dans un traité fiscal, le pays dit « pays de la source » ou « pays d’accueil de l’investissement »</w:t>
      </w:r>
      <w:r w:rsidRPr="005028EB">
        <w:rPr>
          <w:rFonts w:asciiTheme="majorBidi" w:hAnsiTheme="majorBidi" w:cstheme="majorBidi"/>
          <w:sz w:val="24"/>
          <w:szCs w:val="24"/>
        </w:rPr>
        <w:t xml:space="preserve"> conserve une plus grande partie des droits d’imposition que le « pays de la résidence » de l’investisseur. Ceci constitue à l’évidence un avantage</w:t>
      </w:r>
      <w:r>
        <w:rPr>
          <w:rFonts w:asciiTheme="majorBidi" w:hAnsiTheme="majorBidi" w:cstheme="majorBidi"/>
          <w:sz w:val="24"/>
          <w:szCs w:val="24"/>
        </w:rPr>
        <w:t xml:space="preserve"> pour les pays en développement.</w:t>
      </w:r>
    </w:p>
    <w:p w:rsidR="00316F12" w:rsidRPr="00213E38" w:rsidRDefault="00316F12" w:rsidP="00316F12">
      <w:pPr>
        <w:pStyle w:val="Paragraphedeliste"/>
        <w:numPr>
          <w:ilvl w:val="0"/>
          <w:numId w:val="1"/>
        </w:numPr>
        <w:spacing w:before="240" w:after="120" w:line="240" w:lineRule="auto"/>
        <w:ind w:left="1066" w:hanging="357"/>
        <w:contextualSpacing w:val="0"/>
        <w:jc w:val="both"/>
        <w:rPr>
          <w:rFonts w:asciiTheme="majorBidi" w:hAnsiTheme="majorBidi" w:cstheme="majorBidi"/>
          <w:i/>
          <w:iCs/>
          <w:smallCaps/>
          <w:sz w:val="24"/>
          <w:szCs w:val="24"/>
        </w:rPr>
      </w:pPr>
      <w:r w:rsidRPr="00213E38">
        <w:rPr>
          <w:rFonts w:asciiTheme="majorBidi" w:hAnsiTheme="majorBidi" w:cstheme="majorBidi"/>
          <w:i/>
          <w:iCs/>
          <w:smallCaps/>
          <w:sz w:val="24"/>
          <w:szCs w:val="24"/>
        </w:rPr>
        <w:t xml:space="preserve">L’Ocde </w:t>
      </w:r>
      <w:r w:rsidRPr="00AD6E11">
        <w:rPr>
          <w:rFonts w:asciiTheme="majorBidi" w:hAnsiTheme="majorBidi" w:cstheme="majorBidi"/>
          <w:i/>
          <w:iCs/>
          <w:sz w:val="24"/>
          <w:szCs w:val="24"/>
        </w:rPr>
        <w:t>et ses différents modèles de convention</w:t>
      </w:r>
      <w:r>
        <w:rPr>
          <w:rFonts w:asciiTheme="majorBidi" w:hAnsiTheme="majorBidi" w:cstheme="majorBidi"/>
          <w:i/>
          <w:iCs/>
          <w:smallCaps/>
          <w:sz w:val="24"/>
          <w:szCs w:val="24"/>
        </w:rPr>
        <w:t xml:space="preserve"> </w:t>
      </w:r>
    </w:p>
    <w:p w:rsidR="00316F12" w:rsidRPr="00CE3AF9" w:rsidRDefault="00316F12" w:rsidP="00316F12">
      <w:pPr>
        <w:pStyle w:val="Paragraphedeliste"/>
        <w:tabs>
          <w:tab w:val="left" w:pos="1134"/>
        </w:tabs>
        <w:spacing w:before="120" w:after="120" w:line="240" w:lineRule="auto"/>
        <w:ind w:left="0" w:firstLine="709"/>
        <w:contextualSpacing w:val="0"/>
        <w:jc w:val="both"/>
        <w:rPr>
          <w:rFonts w:asciiTheme="majorBidi" w:hAnsiTheme="majorBidi" w:cstheme="majorBidi"/>
          <w:sz w:val="24"/>
          <w:szCs w:val="24"/>
        </w:rPr>
      </w:pPr>
      <w:r w:rsidRPr="00CE3AF9">
        <w:rPr>
          <w:rFonts w:asciiTheme="majorBidi" w:hAnsiTheme="majorBidi" w:cstheme="majorBidi"/>
          <w:sz w:val="24"/>
          <w:szCs w:val="24"/>
        </w:rPr>
        <w:t>La part de</w:t>
      </w:r>
      <w:r>
        <w:rPr>
          <w:rFonts w:asciiTheme="majorBidi" w:hAnsiTheme="majorBidi" w:cstheme="majorBidi"/>
          <w:sz w:val="24"/>
          <w:szCs w:val="24"/>
        </w:rPr>
        <w:t xml:space="preserve"> mérite dans le développement des conventions fiscales</w:t>
      </w:r>
      <w:r w:rsidRPr="00CE3AF9">
        <w:rPr>
          <w:rFonts w:asciiTheme="majorBidi" w:hAnsiTheme="majorBidi" w:cstheme="majorBidi"/>
          <w:sz w:val="24"/>
          <w:szCs w:val="24"/>
        </w:rPr>
        <w:t xml:space="preserve"> revient plus particulièrement à l’Organisation de Coopération et de Développement Economiques (</w:t>
      </w:r>
      <w:r w:rsidRPr="006A22C7">
        <w:rPr>
          <w:rFonts w:asciiTheme="majorBidi" w:hAnsiTheme="majorBidi" w:cstheme="majorBidi"/>
          <w:smallCaps/>
          <w:sz w:val="24"/>
          <w:szCs w:val="24"/>
        </w:rPr>
        <w:t>O</w:t>
      </w:r>
      <w:r>
        <w:rPr>
          <w:rFonts w:asciiTheme="majorBidi" w:hAnsiTheme="majorBidi" w:cstheme="majorBidi"/>
          <w:smallCaps/>
          <w:sz w:val="24"/>
          <w:szCs w:val="24"/>
        </w:rPr>
        <w:t>cde</w:t>
      </w:r>
      <w:r w:rsidRPr="00CE3AF9">
        <w:rPr>
          <w:rFonts w:asciiTheme="majorBidi" w:hAnsiTheme="majorBidi" w:cstheme="majorBidi"/>
          <w:sz w:val="24"/>
          <w:szCs w:val="24"/>
        </w:rPr>
        <w:t>), héritière de l’Organisation Européenne de Coopération Economique (</w:t>
      </w:r>
      <w:r w:rsidRPr="006A22C7">
        <w:rPr>
          <w:rFonts w:asciiTheme="majorBidi" w:hAnsiTheme="majorBidi" w:cstheme="majorBidi"/>
          <w:smallCaps/>
          <w:sz w:val="24"/>
          <w:szCs w:val="24"/>
        </w:rPr>
        <w:t>O</w:t>
      </w:r>
      <w:r>
        <w:rPr>
          <w:rFonts w:asciiTheme="majorBidi" w:hAnsiTheme="majorBidi" w:cstheme="majorBidi"/>
          <w:smallCaps/>
          <w:sz w:val="24"/>
          <w:szCs w:val="24"/>
        </w:rPr>
        <w:t>ece</w:t>
      </w:r>
      <w:r w:rsidRPr="00CE3AF9">
        <w:rPr>
          <w:rFonts w:asciiTheme="majorBidi" w:hAnsiTheme="majorBidi" w:cstheme="majorBidi"/>
          <w:sz w:val="24"/>
          <w:szCs w:val="24"/>
        </w:rPr>
        <w:t xml:space="preserve">) à partir de 1960. </w:t>
      </w:r>
    </w:p>
    <w:p w:rsidR="00316F12" w:rsidRDefault="00316F12" w:rsidP="00316F12">
      <w:pPr>
        <w:pStyle w:val="Paragraphedeliste"/>
        <w:spacing w:before="120" w:after="120" w:line="240" w:lineRule="auto"/>
        <w:ind w:left="0" w:firstLine="709"/>
        <w:contextualSpacing w:val="0"/>
        <w:jc w:val="both"/>
        <w:rPr>
          <w:rFonts w:asciiTheme="majorBidi" w:hAnsiTheme="majorBidi" w:cstheme="majorBidi"/>
          <w:sz w:val="24"/>
          <w:szCs w:val="24"/>
        </w:rPr>
      </w:pPr>
      <w:r w:rsidRPr="005028EB">
        <w:rPr>
          <w:rFonts w:asciiTheme="majorBidi" w:hAnsiTheme="majorBidi" w:cstheme="majorBidi"/>
          <w:sz w:val="24"/>
          <w:szCs w:val="24"/>
        </w:rPr>
        <w:t xml:space="preserve">Le premier Modèle élaboré par </w:t>
      </w:r>
      <w:r>
        <w:rPr>
          <w:rFonts w:asciiTheme="majorBidi" w:hAnsiTheme="majorBidi" w:cstheme="majorBidi"/>
          <w:sz w:val="24"/>
          <w:szCs w:val="24"/>
        </w:rPr>
        <w:t>cette organisation</w:t>
      </w:r>
      <w:r w:rsidRPr="005028EB">
        <w:rPr>
          <w:rFonts w:asciiTheme="majorBidi" w:hAnsiTheme="majorBidi" w:cstheme="majorBidi"/>
          <w:sz w:val="24"/>
          <w:szCs w:val="24"/>
        </w:rPr>
        <w:t xml:space="preserve"> </w:t>
      </w:r>
      <w:r>
        <w:rPr>
          <w:rFonts w:asciiTheme="majorBidi" w:hAnsiTheme="majorBidi" w:cstheme="majorBidi"/>
          <w:sz w:val="24"/>
          <w:szCs w:val="24"/>
        </w:rPr>
        <w:t xml:space="preserve">a été </w:t>
      </w:r>
      <w:r w:rsidRPr="005028EB">
        <w:rPr>
          <w:rFonts w:asciiTheme="majorBidi" w:hAnsiTheme="majorBidi" w:cstheme="majorBidi"/>
          <w:sz w:val="24"/>
          <w:szCs w:val="24"/>
        </w:rPr>
        <w:t>publié en 1963</w:t>
      </w:r>
      <w:r>
        <w:rPr>
          <w:rFonts w:asciiTheme="majorBidi" w:hAnsiTheme="majorBidi" w:cstheme="majorBidi"/>
          <w:sz w:val="24"/>
          <w:szCs w:val="24"/>
        </w:rPr>
        <w:t xml:space="preserve">, le second en 1977, depuis, il a été l’objet de plusieurs mis à jour. Ils </w:t>
      </w:r>
      <w:r w:rsidRPr="005028EB">
        <w:rPr>
          <w:rFonts w:asciiTheme="majorBidi" w:hAnsiTheme="majorBidi" w:cstheme="majorBidi"/>
          <w:sz w:val="24"/>
          <w:szCs w:val="24"/>
        </w:rPr>
        <w:t xml:space="preserve">avaient pour titre </w:t>
      </w:r>
      <w:r>
        <w:rPr>
          <w:rFonts w:asciiTheme="majorBidi" w:hAnsiTheme="majorBidi" w:cstheme="majorBidi"/>
          <w:sz w:val="24"/>
          <w:szCs w:val="24"/>
        </w:rPr>
        <w:t>« </w:t>
      </w:r>
      <w:r w:rsidRPr="00CE3AF9">
        <w:rPr>
          <w:rFonts w:asciiTheme="majorBidi" w:hAnsiTheme="majorBidi" w:cstheme="majorBidi"/>
          <w:i/>
          <w:iCs/>
          <w:sz w:val="24"/>
          <w:szCs w:val="24"/>
        </w:rPr>
        <w:t>l’élimination de la double imposition sur le revenu et la fortune </w:t>
      </w:r>
      <w:r>
        <w:rPr>
          <w:rFonts w:asciiTheme="majorBidi" w:hAnsiTheme="majorBidi" w:cstheme="majorBidi"/>
          <w:sz w:val="24"/>
          <w:szCs w:val="24"/>
        </w:rPr>
        <w:t xml:space="preserve">». </w:t>
      </w:r>
    </w:p>
    <w:p w:rsidR="00316F12" w:rsidRDefault="00316F12" w:rsidP="00316F12">
      <w:pPr>
        <w:pStyle w:val="Paragraphedeliste"/>
        <w:spacing w:before="120" w:after="120" w:line="240" w:lineRule="auto"/>
        <w:ind w:left="0" w:firstLine="709"/>
        <w:contextualSpacing w:val="0"/>
        <w:jc w:val="both"/>
        <w:rPr>
          <w:rFonts w:asciiTheme="majorBidi" w:hAnsiTheme="majorBidi" w:cstheme="majorBidi"/>
          <w:sz w:val="24"/>
          <w:szCs w:val="24"/>
        </w:rPr>
      </w:pPr>
      <w:r>
        <w:rPr>
          <w:rFonts w:asciiTheme="majorBidi" w:hAnsiTheme="majorBidi" w:cstheme="majorBidi"/>
          <w:sz w:val="24"/>
          <w:szCs w:val="24"/>
        </w:rPr>
        <w:t>Ensuite, l’</w:t>
      </w:r>
      <w:r w:rsidRPr="006A22C7">
        <w:rPr>
          <w:rFonts w:asciiTheme="majorBidi" w:hAnsiTheme="majorBidi" w:cstheme="majorBidi"/>
          <w:smallCaps/>
          <w:sz w:val="24"/>
          <w:szCs w:val="24"/>
        </w:rPr>
        <w:t xml:space="preserve">Ocde </w:t>
      </w:r>
      <w:r>
        <w:rPr>
          <w:rFonts w:asciiTheme="majorBidi" w:hAnsiTheme="majorBidi" w:cstheme="majorBidi"/>
          <w:sz w:val="24"/>
          <w:szCs w:val="24"/>
        </w:rPr>
        <w:t xml:space="preserve">s’est </w:t>
      </w:r>
      <w:r w:rsidRPr="006A22C7">
        <w:rPr>
          <w:rFonts w:asciiTheme="majorBidi" w:hAnsiTheme="majorBidi" w:cstheme="majorBidi"/>
          <w:sz w:val="24"/>
          <w:szCs w:val="24"/>
        </w:rPr>
        <w:t>intéressée à « l’assistance administrative en matière fiscale » ou « la coopération fiscale »</w:t>
      </w:r>
      <w:r>
        <w:rPr>
          <w:rFonts w:asciiTheme="majorBidi" w:hAnsiTheme="majorBidi" w:cstheme="majorBidi"/>
          <w:sz w:val="24"/>
          <w:szCs w:val="24"/>
        </w:rPr>
        <w:t xml:space="preserve"> en élaborant plusieurs modèles de conventions </w:t>
      </w:r>
      <w:r w:rsidRPr="001A52AB">
        <w:rPr>
          <w:rFonts w:asciiTheme="majorBidi" w:hAnsiTheme="majorBidi" w:cstheme="majorBidi"/>
          <w:sz w:val="24"/>
          <w:szCs w:val="24"/>
        </w:rPr>
        <w:t>:</w:t>
      </w:r>
    </w:p>
    <w:p w:rsidR="00316F12" w:rsidRDefault="00316F12" w:rsidP="00316F12">
      <w:pPr>
        <w:pStyle w:val="Paragraphedeliste"/>
        <w:numPr>
          <w:ilvl w:val="0"/>
          <w:numId w:val="1"/>
        </w:numPr>
        <w:spacing w:before="120" w:after="120" w:line="240" w:lineRule="auto"/>
        <w:contextualSpacing w:val="0"/>
        <w:jc w:val="both"/>
        <w:rPr>
          <w:rFonts w:asciiTheme="majorBidi" w:hAnsiTheme="majorBidi" w:cstheme="majorBidi"/>
          <w:sz w:val="24"/>
          <w:szCs w:val="24"/>
        </w:rPr>
      </w:pPr>
      <w:r w:rsidRPr="001A52AB">
        <w:rPr>
          <w:rFonts w:asciiTheme="majorBidi" w:hAnsiTheme="majorBidi" w:cstheme="majorBidi"/>
          <w:sz w:val="24"/>
          <w:szCs w:val="24"/>
        </w:rPr>
        <w:t>Convention multilatérale d’assistance administrative mutuelle en matière fiscale</w:t>
      </w:r>
      <w:r>
        <w:rPr>
          <w:rFonts w:asciiTheme="majorBidi" w:hAnsiTheme="majorBidi" w:cstheme="majorBidi"/>
          <w:sz w:val="24"/>
          <w:szCs w:val="24"/>
        </w:rPr>
        <w:t xml:space="preserve"> élaborée en 1988 et amendée en 2010 par un protocole ; </w:t>
      </w:r>
    </w:p>
    <w:p w:rsidR="00316F12" w:rsidRPr="009512B9" w:rsidRDefault="00316F12" w:rsidP="00316F12">
      <w:pPr>
        <w:pStyle w:val="Paragraphedeliste"/>
        <w:numPr>
          <w:ilvl w:val="0"/>
          <w:numId w:val="1"/>
        </w:numPr>
        <w:spacing w:before="120" w:after="120" w:line="240" w:lineRule="auto"/>
        <w:contextualSpacing w:val="0"/>
        <w:jc w:val="both"/>
        <w:rPr>
          <w:rFonts w:asciiTheme="majorBidi" w:hAnsiTheme="majorBidi" w:cstheme="majorBidi"/>
          <w:sz w:val="24"/>
          <w:szCs w:val="24"/>
        </w:rPr>
      </w:pPr>
      <w:r>
        <w:rPr>
          <w:rFonts w:asciiTheme="majorBidi" w:hAnsiTheme="majorBidi" w:cstheme="majorBidi"/>
          <w:sz w:val="24"/>
          <w:szCs w:val="24"/>
        </w:rPr>
        <w:t>A</w:t>
      </w:r>
      <w:r w:rsidRPr="001A52AB">
        <w:rPr>
          <w:rFonts w:asciiTheme="majorBidi" w:hAnsiTheme="majorBidi" w:cstheme="majorBidi"/>
          <w:sz w:val="24"/>
          <w:szCs w:val="24"/>
        </w:rPr>
        <w:t xml:space="preserve">ccord sur l’échange de </w:t>
      </w:r>
      <w:r w:rsidRPr="009512B9">
        <w:rPr>
          <w:rFonts w:asciiTheme="majorBidi" w:hAnsiTheme="majorBidi" w:cstheme="majorBidi"/>
          <w:sz w:val="24"/>
          <w:szCs w:val="24"/>
        </w:rPr>
        <w:t>renseignements en matière fiscale </w:t>
      </w:r>
      <w:r>
        <w:rPr>
          <w:rFonts w:asciiTheme="majorBidi" w:hAnsiTheme="majorBidi" w:cstheme="majorBidi"/>
          <w:sz w:val="24"/>
          <w:szCs w:val="24"/>
        </w:rPr>
        <w:t xml:space="preserve">qui a deux versions, une bilatérale et une autre multilatérale </w:t>
      </w:r>
      <w:r w:rsidRPr="009512B9">
        <w:rPr>
          <w:rFonts w:asciiTheme="majorBidi" w:hAnsiTheme="majorBidi" w:cstheme="majorBidi"/>
          <w:sz w:val="24"/>
          <w:szCs w:val="24"/>
        </w:rPr>
        <w:t>;</w:t>
      </w:r>
    </w:p>
    <w:p w:rsidR="00316F12" w:rsidRPr="009512B9" w:rsidRDefault="00316F12" w:rsidP="00316F12">
      <w:pPr>
        <w:pStyle w:val="Paragraphedeliste"/>
        <w:numPr>
          <w:ilvl w:val="0"/>
          <w:numId w:val="1"/>
        </w:numPr>
        <w:spacing w:before="120" w:after="120" w:line="240" w:lineRule="auto"/>
        <w:contextualSpacing w:val="0"/>
        <w:jc w:val="both"/>
        <w:rPr>
          <w:rFonts w:asciiTheme="majorBidi" w:hAnsiTheme="majorBidi" w:cstheme="majorBidi"/>
          <w:b/>
          <w:bCs/>
          <w:sz w:val="24"/>
          <w:szCs w:val="24"/>
        </w:rPr>
      </w:pPr>
      <w:r w:rsidRPr="009512B9">
        <w:rPr>
          <w:rFonts w:asciiTheme="majorBidi" w:hAnsiTheme="majorBidi" w:cstheme="majorBidi"/>
          <w:sz w:val="24"/>
          <w:szCs w:val="24"/>
        </w:rPr>
        <w:t xml:space="preserve">Convention multilatérale </w:t>
      </w:r>
      <w:r w:rsidRPr="009512B9">
        <w:rPr>
          <w:rStyle w:val="lev"/>
          <w:rFonts w:asciiTheme="majorBidi" w:hAnsiTheme="majorBidi" w:cstheme="majorBidi"/>
          <w:color w:val="111111"/>
          <w:sz w:val="24"/>
          <w:szCs w:val="24"/>
          <w:shd w:val="clear" w:color="auto" w:fill="FFFFFF"/>
        </w:rPr>
        <w:t>pour la mise en œuvre des mesures relatives aux conventions fiscales pour prévenir l’érosion de la base d’imposition et le transfert de bénéfices</w:t>
      </w:r>
      <w:r>
        <w:rPr>
          <w:rStyle w:val="lev"/>
          <w:rFonts w:asciiTheme="majorBidi" w:hAnsiTheme="majorBidi" w:cstheme="majorBidi"/>
          <w:color w:val="111111"/>
          <w:sz w:val="24"/>
          <w:szCs w:val="24"/>
          <w:shd w:val="clear" w:color="auto" w:fill="FFFFFF"/>
        </w:rPr>
        <w:t xml:space="preserve"> entrée en vigueur le 1</w:t>
      </w:r>
      <w:r w:rsidRPr="00372554">
        <w:rPr>
          <w:rStyle w:val="lev"/>
          <w:rFonts w:asciiTheme="majorBidi" w:hAnsiTheme="majorBidi" w:cstheme="majorBidi"/>
          <w:color w:val="111111"/>
          <w:sz w:val="24"/>
          <w:szCs w:val="24"/>
          <w:shd w:val="clear" w:color="auto" w:fill="FFFFFF"/>
          <w:vertAlign w:val="superscript"/>
        </w:rPr>
        <w:t>er</w:t>
      </w:r>
      <w:r>
        <w:rPr>
          <w:rStyle w:val="lev"/>
          <w:rFonts w:asciiTheme="majorBidi" w:hAnsiTheme="majorBidi" w:cstheme="majorBidi"/>
          <w:color w:val="111111"/>
          <w:sz w:val="24"/>
          <w:szCs w:val="24"/>
          <w:shd w:val="clear" w:color="auto" w:fill="FFFFFF"/>
        </w:rPr>
        <w:t xml:space="preserve"> juillet 2018. </w:t>
      </w:r>
    </w:p>
    <w:p w:rsidR="00316F12" w:rsidRPr="000273E7" w:rsidRDefault="00316F12" w:rsidP="00316F12">
      <w:pPr>
        <w:pStyle w:val="Paragraphedeliste"/>
        <w:spacing w:before="120" w:after="120" w:line="240" w:lineRule="auto"/>
        <w:ind w:left="0" w:firstLine="709"/>
        <w:contextualSpacing w:val="0"/>
        <w:jc w:val="both"/>
        <w:rPr>
          <w:rFonts w:asciiTheme="majorBidi" w:hAnsiTheme="majorBidi" w:cstheme="majorBidi"/>
          <w:b/>
          <w:bCs/>
          <w:sz w:val="24"/>
          <w:szCs w:val="24"/>
        </w:rPr>
      </w:pPr>
      <w:r>
        <w:rPr>
          <w:rFonts w:asciiTheme="majorBidi" w:hAnsiTheme="majorBidi" w:cstheme="majorBidi"/>
          <w:sz w:val="24"/>
          <w:szCs w:val="24"/>
        </w:rPr>
        <w:t>Mis à part ces questions fiscales, l’</w:t>
      </w:r>
      <w:r w:rsidRPr="009512B9">
        <w:rPr>
          <w:rFonts w:asciiTheme="majorBidi" w:hAnsiTheme="majorBidi" w:cstheme="majorBidi"/>
          <w:smallCaps/>
          <w:sz w:val="24"/>
          <w:szCs w:val="24"/>
        </w:rPr>
        <w:t>Ocde</w:t>
      </w:r>
      <w:r>
        <w:rPr>
          <w:rFonts w:asciiTheme="majorBidi" w:hAnsiTheme="majorBidi" w:cstheme="majorBidi"/>
          <w:sz w:val="24"/>
          <w:szCs w:val="24"/>
        </w:rPr>
        <w:t xml:space="preserve"> s’intéresse aussi à la fiscalité de l’économie numérique, l’érosion de la base d’imposition, la </w:t>
      </w:r>
      <w:r w:rsidRPr="00D349FE">
        <w:rPr>
          <w:rFonts w:asciiTheme="majorBidi" w:hAnsiTheme="majorBidi" w:cstheme="majorBidi"/>
          <w:smallCaps/>
          <w:sz w:val="24"/>
          <w:szCs w:val="24"/>
        </w:rPr>
        <w:t>Tva</w:t>
      </w:r>
      <w:r>
        <w:rPr>
          <w:rFonts w:asciiTheme="majorBidi" w:hAnsiTheme="majorBidi" w:cstheme="majorBidi"/>
          <w:sz w:val="24"/>
          <w:szCs w:val="24"/>
        </w:rPr>
        <w:t xml:space="preserve"> internationale, …</w:t>
      </w:r>
    </w:p>
    <w:p w:rsidR="00316F12" w:rsidRDefault="00316F12" w:rsidP="00316F12">
      <w:pPr>
        <w:spacing w:before="240" w:after="240" w:line="240" w:lineRule="auto"/>
        <w:ind w:firstLine="709"/>
        <w:jc w:val="both"/>
        <w:rPr>
          <w:rFonts w:asciiTheme="majorBidi" w:hAnsiTheme="majorBidi" w:cstheme="majorBidi"/>
          <w:sz w:val="24"/>
          <w:szCs w:val="24"/>
        </w:rPr>
      </w:pPr>
      <w:r w:rsidRPr="00A459AE">
        <w:rPr>
          <w:rFonts w:asciiTheme="majorBidi" w:hAnsiTheme="majorBidi" w:cstheme="majorBidi"/>
          <w:b/>
          <w:bCs/>
          <w:sz w:val="24"/>
          <w:szCs w:val="24"/>
        </w:rPr>
        <w:t>Section</w:t>
      </w:r>
      <w:r w:rsidRPr="00166FA0">
        <w:rPr>
          <w:rFonts w:asciiTheme="majorBidi" w:hAnsiTheme="majorBidi" w:cstheme="majorBidi"/>
          <w:b/>
          <w:bCs/>
          <w:sz w:val="24"/>
          <w:szCs w:val="24"/>
        </w:rPr>
        <w:t xml:space="preserve"> 3 :</w:t>
      </w:r>
      <w:r w:rsidRPr="00166FA0">
        <w:rPr>
          <w:rFonts w:asciiTheme="majorBidi" w:hAnsiTheme="majorBidi" w:cstheme="majorBidi"/>
          <w:sz w:val="24"/>
          <w:szCs w:val="24"/>
        </w:rPr>
        <w:t xml:space="preserve"> Les conventions </w:t>
      </w:r>
      <w:r>
        <w:rPr>
          <w:rFonts w:asciiTheme="majorBidi" w:hAnsiTheme="majorBidi" w:cstheme="majorBidi"/>
          <w:sz w:val="24"/>
          <w:szCs w:val="24"/>
        </w:rPr>
        <w:t>fiscales signées par l’Algérie</w:t>
      </w:r>
    </w:p>
    <w:p w:rsidR="00316F12" w:rsidRDefault="00316F12" w:rsidP="00316F12">
      <w:pPr>
        <w:spacing w:before="120" w:after="120" w:line="240" w:lineRule="auto"/>
        <w:ind w:firstLine="709"/>
        <w:jc w:val="both"/>
        <w:rPr>
          <w:rFonts w:asciiTheme="majorBidi" w:hAnsiTheme="majorBidi" w:cstheme="majorBidi"/>
          <w:sz w:val="24"/>
          <w:szCs w:val="24"/>
        </w:rPr>
      </w:pPr>
      <w:r>
        <w:rPr>
          <w:rFonts w:asciiTheme="majorBidi" w:hAnsiTheme="majorBidi" w:cstheme="majorBidi"/>
          <w:sz w:val="24"/>
          <w:szCs w:val="24"/>
        </w:rPr>
        <w:t>L’Algérie a un réseau conventionnel assez particulier puisqu’elle n’a signée jusqu’à ce jour que des conventions</w:t>
      </w:r>
      <w:r>
        <w:rPr>
          <w:rFonts w:asciiTheme="majorBidi" w:hAnsiTheme="majorBidi" w:cstheme="majorBidi" w:hint="cs"/>
          <w:sz w:val="24"/>
          <w:szCs w:val="24"/>
          <w:rtl/>
        </w:rPr>
        <w:t xml:space="preserve"> </w:t>
      </w:r>
      <w:r>
        <w:rPr>
          <w:rFonts w:asciiTheme="majorBidi" w:hAnsiTheme="majorBidi" w:cstheme="majorBidi"/>
          <w:sz w:val="24"/>
          <w:szCs w:val="24"/>
        </w:rPr>
        <w:t>relatives aux doubles impositions et dont le nombre est très retreint par rapport aux autres pays voisins comme la Tunisie et le Maroc</w:t>
      </w:r>
      <w:r>
        <w:rPr>
          <w:rStyle w:val="Appelnotedebasdep"/>
          <w:rFonts w:asciiTheme="majorBidi" w:hAnsiTheme="majorBidi" w:cstheme="majorBidi"/>
          <w:sz w:val="24"/>
          <w:szCs w:val="24"/>
        </w:rPr>
        <w:footnoteReference w:id="5"/>
      </w:r>
      <w:r>
        <w:rPr>
          <w:rFonts w:asciiTheme="majorBidi" w:hAnsiTheme="majorBidi" w:cstheme="majorBidi"/>
          <w:sz w:val="24"/>
          <w:szCs w:val="24"/>
        </w:rPr>
        <w:t>. En effet, le nombre de conventions signé par notre Etat ne dépasse pas les 35 conventions</w:t>
      </w:r>
      <w:r>
        <w:rPr>
          <w:rStyle w:val="Appelnotedebasdep"/>
          <w:rFonts w:asciiTheme="majorBidi" w:hAnsiTheme="majorBidi" w:cstheme="majorBidi"/>
          <w:sz w:val="24"/>
          <w:szCs w:val="24"/>
        </w:rPr>
        <w:footnoteReference w:id="6"/>
      </w:r>
      <w:r>
        <w:rPr>
          <w:rFonts w:asciiTheme="majorBidi" w:hAnsiTheme="majorBidi" w:cstheme="majorBidi"/>
          <w:sz w:val="24"/>
          <w:szCs w:val="24"/>
        </w:rPr>
        <w:t>. Seize (16) d’entre elles ont été signé avec les pays européens (royaume uni, Allemagne, Autriche, Belgique, Bosnie, Bulgarie, Espagne, France, Italie, Portugal, Pays-Bas, Roumanie, Russie, Suisse, Turquie, Ukraine) ;  Douze (12) avec les pays arabes (Arabie saoudite, Bahreïn, Egypte, Emirats arabes unis, Jordanie, Koweït, Qatar, Iran, Liban, Syrie, Sultanat Oman et Yémen ; Trois (3) avec les pays d’Asie (Chine, Corée du sud, Indonésie) ;</w:t>
      </w:r>
      <w:r w:rsidRPr="00E3594B">
        <w:rPr>
          <w:rFonts w:asciiTheme="majorBidi" w:hAnsiTheme="majorBidi" w:cstheme="majorBidi"/>
          <w:sz w:val="24"/>
          <w:szCs w:val="24"/>
        </w:rPr>
        <w:t xml:space="preserve"> </w:t>
      </w:r>
      <w:r>
        <w:rPr>
          <w:rFonts w:asciiTheme="majorBidi" w:hAnsiTheme="majorBidi" w:cstheme="majorBidi"/>
          <w:sz w:val="24"/>
          <w:szCs w:val="24"/>
        </w:rPr>
        <w:t xml:space="preserve">Deux (2) avec les pays du Maghreb arabe </w:t>
      </w:r>
      <w:r>
        <w:rPr>
          <w:rFonts w:asciiTheme="majorBidi" w:hAnsiTheme="majorBidi" w:cstheme="majorBidi"/>
          <w:sz w:val="24"/>
          <w:szCs w:val="24"/>
        </w:rPr>
        <w:lastRenderedPageBreak/>
        <w:t>(UMA, Mauritanie) ; Une seule avec les pays d’Amérique (Canada) et une seule avec les pays d’Afrique (Afrique du sud)</w:t>
      </w:r>
      <w:r>
        <w:rPr>
          <w:rStyle w:val="Appelnotedebasdep"/>
          <w:rFonts w:asciiTheme="majorBidi" w:hAnsiTheme="majorBidi" w:cstheme="majorBidi"/>
          <w:sz w:val="24"/>
          <w:szCs w:val="24"/>
        </w:rPr>
        <w:footnoteReference w:id="7"/>
      </w:r>
      <w:r>
        <w:rPr>
          <w:rFonts w:asciiTheme="majorBidi" w:hAnsiTheme="majorBidi" w:cstheme="majorBidi"/>
          <w:sz w:val="24"/>
          <w:szCs w:val="24"/>
        </w:rPr>
        <w:t xml:space="preserve">. </w:t>
      </w:r>
    </w:p>
    <w:p w:rsidR="00316F12" w:rsidRDefault="00316F12" w:rsidP="00316F12">
      <w:pPr>
        <w:spacing w:before="120" w:after="120"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Ces conventions disposent environ de 30 articles. Nous donnons ici l’exemple de la convention signée avec l’Egypte en 2003. Ses articles sont répartis comme suite : </w:t>
      </w:r>
    </w:p>
    <w:p w:rsidR="00316F12" w:rsidRDefault="00316F12" w:rsidP="00316F12">
      <w:pPr>
        <w:pStyle w:val="Paragraphedeliste"/>
        <w:numPr>
          <w:ilvl w:val="0"/>
          <w:numId w:val="1"/>
        </w:numPr>
        <w:spacing w:before="120" w:after="120" w:line="240" w:lineRule="auto"/>
        <w:ind w:left="284" w:hanging="284"/>
        <w:contextualSpacing w:val="0"/>
        <w:jc w:val="both"/>
        <w:rPr>
          <w:rFonts w:asciiTheme="majorBidi" w:hAnsiTheme="majorBidi" w:cstheme="majorBidi"/>
          <w:sz w:val="24"/>
          <w:szCs w:val="24"/>
        </w:rPr>
      </w:pPr>
      <w:r>
        <w:rPr>
          <w:rFonts w:asciiTheme="majorBidi" w:hAnsiTheme="majorBidi" w:cstheme="majorBidi"/>
          <w:sz w:val="24"/>
          <w:szCs w:val="24"/>
        </w:rPr>
        <w:t>A</w:t>
      </w:r>
      <w:r w:rsidRPr="007B4A76">
        <w:rPr>
          <w:rFonts w:asciiTheme="majorBidi" w:hAnsiTheme="majorBidi" w:cstheme="majorBidi"/>
          <w:sz w:val="24"/>
          <w:szCs w:val="24"/>
        </w:rPr>
        <w:t>rticles de 01-03</w:t>
      </w:r>
      <w:r>
        <w:rPr>
          <w:rFonts w:asciiTheme="majorBidi" w:hAnsiTheme="majorBidi" w:cstheme="majorBidi"/>
          <w:sz w:val="24"/>
          <w:szCs w:val="24"/>
        </w:rPr>
        <w:t> :</w:t>
      </w:r>
      <w:r w:rsidRPr="007B4A76">
        <w:rPr>
          <w:rFonts w:asciiTheme="majorBidi" w:hAnsiTheme="majorBidi" w:cstheme="majorBidi"/>
          <w:sz w:val="24"/>
          <w:szCs w:val="24"/>
        </w:rPr>
        <w:t xml:space="preserve"> </w:t>
      </w:r>
      <w:r>
        <w:rPr>
          <w:rFonts w:asciiTheme="majorBidi" w:hAnsiTheme="majorBidi" w:cstheme="majorBidi"/>
          <w:sz w:val="24"/>
          <w:szCs w:val="24"/>
        </w:rPr>
        <w:t>l</w:t>
      </w:r>
      <w:r w:rsidRPr="007B4A76">
        <w:rPr>
          <w:rFonts w:asciiTheme="majorBidi" w:hAnsiTheme="majorBidi" w:cstheme="majorBidi"/>
          <w:sz w:val="24"/>
          <w:szCs w:val="24"/>
        </w:rPr>
        <w:t>es personnes et les impô</w:t>
      </w:r>
      <w:r>
        <w:rPr>
          <w:rFonts w:asciiTheme="majorBidi" w:hAnsiTheme="majorBidi" w:cstheme="majorBidi"/>
          <w:sz w:val="24"/>
          <w:szCs w:val="24"/>
        </w:rPr>
        <w:t>ts visés, définitions générales ;</w:t>
      </w:r>
    </w:p>
    <w:p w:rsidR="00316F12" w:rsidRDefault="00316F12" w:rsidP="00316F12">
      <w:pPr>
        <w:pStyle w:val="Paragraphedeliste"/>
        <w:numPr>
          <w:ilvl w:val="0"/>
          <w:numId w:val="1"/>
        </w:numPr>
        <w:spacing w:before="120" w:after="120" w:line="240" w:lineRule="auto"/>
        <w:ind w:left="284" w:hanging="284"/>
        <w:contextualSpacing w:val="0"/>
        <w:jc w:val="both"/>
        <w:rPr>
          <w:rFonts w:asciiTheme="majorBidi" w:hAnsiTheme="majorBidi" w:cstheme="majorBidi"/>
          <w:sz w:val="24"/>
          <w:szCs w:val="24"/>
        </w:rPr>
      </w:pPr>
      <w:r>
        <w:rPr>
          <w:rFonts w:asciiTheme="majorBidi" w:hAnsiTheme="majorBidi" w:cstheme="majorBidi"/>
          <w:sz w:val="24"/>
          <w:szCs w:val="24"/>
        </w:rPr>
        <w:t>Articles de 04 – 23 :</w:t>
      </w:r>
      <w:r w:rsidRPr="007B4A76">
        <w:rPr>
          <w:rFonts w:asciiTheme="majorBidi" w:hAnsiTheme="majorBidi" w:cstheme="majorBidi"/>
          <w:sz w:val="24"/>
          <w:szCs w:val="24"/>
        </w:rPr>
        <w:t xml:space="preserve"> imposition des différentes matières imposables comme les revenus des personnes physiques, bénéfices des entreprises, revenus passifs (dividendes, intérêts et redevances), les gains en capital, revenus des fonctionnaires ... </w:t>
      </w:r>
    </w:p>
    <w:p w:rsidR="00316F12" w:rsidRDefault="00316F12" w:rsidP="00316F12">
      <w:pPr>
        <w:pStyle w:val="Paragraphedeliste"/>
        <w:numPr>
          <w:ilvl w:val="0"/>
          <w:numId w:val="1"/>
        </w:numPr>
        <w:spacing w:before="120" w:after="120" w:line="240" w:lineRule="auto"/>
        <w:ind w:left="284" w:hanging="284"/>
        <w:contextualSpacing w:val="0"/>
        <w:jc w:val="both"/>
        <w:rPr>
          <w:rFonts w:asciiTheme="majorBidi" w:hAnsiTheme="majorBidi" w:cstheme="majorBidi"/>
          <w:sz w:val="24"/>
          <w:szCs w:val="24"/>
        </w:rPr>
      </w:pPr>
      <w:r>
        <w:rPr>
          <w:rFonts w:asciiTheme="majorBidi" w:hAnsiTheme="majorBidi" w:cstheme="majorBidi"/>
          <w:sz w:val="24"/>
          <w:szCs w:val="24"/>
        </w:rPr>
        <w:t>A</w:t>
      </w:r>
      <w:r w:rsidRPr="007B4A76">
        <w:rPr>
          <w:rFonts w:asciiTheme="majorBidi" w:hAnsiTheme="majorBidi" w:cstheme="majorBidi"/>
          <w:sz w:val="24"/>
          <w:szCs w:val="24"/>
        </w:rPr>
        <w:t>rticle 24</w:t>
      </w:r>
      <w:r>
        <w:rPr>
          <w:rFonts w:asciiTheme="majorBidi" w:hAnsiTheme="majorBidi" w:cstheme="majorBidi"/>
          <w:sz w:val="24"/>
          <w:szCs w:val="24"/>
        </w:rPr>
        <w:t> :</w:t>
      </w:r>
      <w:r w:rsidRPr="007B4A76">
        <w:rPr>
          <w:rFonts w:asciiTheme="majorBidi" w:hAnsiTheme="majorBidi" w:cstheme="majorBidi"/>
          <w:sz w:val="24"/>
          <w:szCs w:val="24"/>
        </w:rPr>
        <w:t xml:space="preserve"> des moyens </w:t>
      </w:r>
      <w:r>
        <w:rPr>
          <w:rFonts w:asciiTheme="majorBidi" w:hAnsiTheme="majorBidi" w:cstheme="majorBidi"/>
          <w:sz w:val="24"/>
          <w:szCs w:val="24"/>
        </w:rPr>
        <w:t xml:space="preserve">pour éviter </w:t>
      </w:r>
      <w:r w:rsidRPr="007B4A76">
        <w:rPr>
          <w:rFonts w:asciiTheme="majorBidi" w:hAnsiTheme="majorBidi" w:cstheme="majorBidi"/>
          <w:sz w:val="24"/>
          <w:szCs w:val="24"/>
        </w:rPr>
        <w:t>la double imposition</w:t>
      </w:r>
      <w:r>
        <w:rPr>
          <w:rFonts w:asciiTheme="majorBidi" w:hAnsiTheme="majorBidi" w:cstheme="majorBidi"/>
          <w:sz w:val="24"/>
          <w:szCs w:val="24"/>
        </w:rPr>
        <w:t xml:space="preserve"> ; </w:t>
      </w:r>
    </w:p>
    <w:p w:rsidR="00316F12" w:rsidRDefault="00316F12" w:rsidP="00316F12">
      <w:pPr>
        <w:pStyle w:val="Paragraphedeliste"/>
        <w:numPr>
          <w:ilvl w:val="0"/>
          <w:numId w:val="1"/>
        </w:numPr>
        <w:spacing w:before="120" w:after="120" w:line="240" w:lineRule="auto"/>
        <w:ind w:left="284" w:hanging="284"/>
        <w:contextualSpacing w:val="0"/>
        <w:jc w:val="both"/>
        <w:rPr>
          <w:rFonts w:asciiTheme="majorBidi" w:hAnsiTheme="majorBidi" w:cstheme="majorBidi"/>
          <w:sz w:val="24"/>
          <w:szCs w:val="24"/>
        </w:rPr>
      </w:pPr>
      <w:r>
        <w:rPr>
          <w:rFonts w:asciiTheme="majorBidi" w:hAnsiTheme="majorBidi" w:cstheme="majorBidi"/>
          <w:sz w:val="24"/>
          <w:szCs w:val="24"/>
        </w:rPr>
        <w:t>Article 25 : non discrimination ;</w:t>
      </w:r>
    </w:p>
    <w:p w:rsidR="00316F12" w:rsidRDefault="00316F12" w:rsidP="00316F12">
      <w:pPr>
        <w:pStyle w:val="Paragraphedeliste"/>
        <w:numPr>
          <w:ilvl w:val="0"/>
          <w:numId w:val="1"/>
        </w:numPr>
        <w:spacing w:before="120" w:after="120" w:line="240" w:lineRule="auto"/>
        <w:ind w:left="284" w:hanging="284"/>
        <w:contextualSpacing w:val="0"/>
        <w:jc w:val="both"/>
        <w:rPr>
          <w:rFonts w:asciiTheme="majorBidi" w:hAnsiTheme="majorBidi" w:cstheme="majorBidi"/>
          <w:sz w:val="24"/>
          <w:szCs w:val="24"/>
        </w:rPr>
      </w:pPr>
      <w:r>
        <w:rPr>
          <w:rFonts w:asciiTheme="majorBidi" w:hAnsiTheme="majorBidi" w:cstheme="majorBidi"/>
          <w:sz w:val="24"/>
          <w:szCs w:val="24"/>
        </w:rPr>
        <w:t>Article 26 : procédure à l’amiable ;</w:t>
      </w:r>
    </w:p>
    <w:p w:rsidR="00316F12" w:rsidRDefault="00316F12" w:rsidP="00316F12">
      <w:pPr>
        <w:pStyle w:val="Paragraphedeliste"/>
        <w:numPr>
          <w:ilvl w:val="0"/>
          <w:numId w:val="1"/>
        </w:numPr>
        <w:spacing w:before="120" w:after="120" w:line="240" w:lineRule="auto"/>
        <w:ind w:left="284" w:hanging="284"/>
        <w:contextualSpacing w:val="0"/>
        <w:jc w:val="both"/>
        <w:rPr>
          <w:rFonts w:asciiTheme="majorBidi" w:hAnsiTheme="majorBidi" w:cstheme="majorBidi"/>
          <w:sz w:val="24"/>
          <w:szCs w:val="24"/>
        </w:rPr>
      </w:pPr>
      <w:r>
        <w:rPr>
          <w:rFonts w:asciiTheme="majorBidi" w:hAnsiTheme="majorBidi" w:cstheme="majorBidi"/>
          <w:sz w:val="24"/>
          <w:szCs w:val="24"/>
        </w:rPr>
        <w:t>Article 27 : échange de renseignements ;</w:t>
      </w:r>
    </w:p>
    <w:p w:rsidR="00316F12" w:rsidRDefault="00316F12" w:rsidP="00316F12">
      <w:pPr>
        <w:pStyle w:val="Paragraphedeliste"/>
        <w:numPr>
          <w:ilvl w:val="0"/>
          <w:numId w:val="1"/>
        </w:numPr>
        <w:spacing w:before="120" w:after="120" w:line="240" w:lineRule="auto"/>
        <w:ind w:left="284" w:hanging="284"/>
        <w:contextualSpacing w:val="0"/>
        <w:jc w:val="both"/>
        <w:rPr>
          <w:rFonts w:asciiTheme="majorBidi" w:hAnsiTheme="majorBidi" w:cstheme="majorBidi"/>
          <w:sz w:val="24"/>
          <w:szCs w:val="24"/>
        </w:rPr>
      </w:pPr>
      <w:r>
        <w:rPr>
          <w:rFonts w:asciiTheme="majorBidi" w:hAnsiTheme="majorBidi" w:cstheme="majorBidi"/>
          <w:sz w:val="24"/>
          <w:szCs w:val="24"/>
        </w:rPr>
        <w:t>Article 28 : agents diplomatiques et fonctionnaires consulaires ;</w:t>
      </w:r>
    </w:p>
    <w:p w:rsidR="00316F12" w:rsidRDefault="00316F12" w:rsidP="00316F12">
      <w:pPr>
        <w:pStyle w:val="Paragraphedeliste"/>
        <w:numPr>
          <w:ilvl w:val="0"/>
          <w:numId w:val="1"/>
        </w:numPr>
        <w:spacing w:before="120" w:after="120" w:line="240" w:lineRule="auto"/>
        <w:ind w:left="284" w:hanging="284"/>
        <w:contextualSpacing w:val="0"/>
        <w:jc w:val="both"/>
        <w:rPr>
          <w:rFonts w:asciiTheme="majorBidi" w:hAnsiTheme="majorBidi" w:cstheme="majorBidi"/>
          <w:sz w:val="24"/>
          <w:szCs w:val="24"/>
        </w:rPr>
      </w:pPr>
      <w:r>
        <w:rPr>
          <w:rFonts w:asciiTheme="majorBidi" w:hAnsiTheme="majorBidi" w:cstheme="majorBidi"/>
          <w:sz w:val="24"/>
          <w:szCs w:val="24"/>
        </w:rPr>
        <w:t>Article 29 : entrée en vigueur ;</w:t>
      </w:r>
    </w:p>
    <w:p w:rsidR="00316F12" w:rsidRPr="007B4A76" w:rsidRDefault="00316F12" w:rsidP="00316F12">
      <w:pPr>
        <w:pStyle w:val="Paragraphedeliste"/>
        <w:numPr>
          <w:ilvl w:val="0"/>
          <w:numId w:val="1"/>
        </w:numPr>
        <w:spacing w:before="120" w:after="120" w:line="240" w:lineRule="auto"/>
        <w:ind w:left="284" w:hanging="284"/>
        <w:contextualSpacing w:val="0"/>
        <w:jc w:val="both"/>
        <w:rPr>
          <w:rFonts w:asciiTheme="majorBidi" w:hAnsiTheme="majorBidi" w:cstheme="majorBidi"/>
          <w:sz w:val="24"/>
          <w:szCs w:val="24"/>
        </w:rPr>
      </w:pPr>
      <w:r>
        <w:rPr>
          <w:rFonts w:asciiTheme="majorBidi" w:hAnsiTheme="majorBidi" w:cstheme="majorBidi"/>
          <w:sz w:val="24"/>
          <w:szCs w:val="24"/>
        </w:rPr>
        <w:t xml:space="preserve">Article 30 : dénonciation. </w:t>
      </w:r>
    </w:p>
    <w:p w:rsidR="00316F12" w:rsidRPr="007650A0" w:rsidRDefault="00316F12" w:rsidP="00316F12">
      <w:pPr>
        <w:pStyle w:val="Paragraphedeliste"/>
        <w:spacing w:before="120" w:after="120" w:line="240" w:lineRule="auto"/>
        <w:ind w:left="0" w:firstLine="709"/>
        <w:contextualSpacing w:val="0"/>
        <w:jc w:val="both"/>
        <w:rPr>
          <w:rFonts w:asciiTheme="majorBidi" w:hAnsiTheme="majorBidi" w:cstheme="majorBidi"/>
          <w:sz w:val="24"/>
          <w:szCs w:val="24"/>
        </w:rPr>
      </w:pPr>
      <w:r w:rsidRPr="007650A0">
        <w:rPr>
          <w:rFonts w:asciiTheme="majorBidi" w:hAnsiTheme="majorBidi" w:cstheme="majorBidi"/>
          <w:sz w:val="24"/>
          <w:szCs w:val="24"/>
        </w:rPr>
        <w:t>Ces conventions signées par l’Algérie s’inspire du modèle de l’</w:t>
      </w:r>
      <w:r w:rsidRPr="007650A0">
        <w:rPr>
          <w:rFonts w:asciiTheme="majorBidi" w:hAnsiTheme="majorBidi" w:cstheme="majorBidi"/>
          <w:smallCaps/>
          <w:sz w:val="24"/>
          <w:szCs w:val="24"/>
        </w:rPr>
        <w:t>Ocde</w:t>
      </w:r>
      <w:r w:rsidRPr="007650A0">
        <w:rPr>
          <w:rFonts w:asciiTheme="majorBidi" w:hAnsiTheme="majorBidi" w:cstheme="majorBidi"/>
          <w:sz w:val="24"/>
          <w:szCs w:val="24"/>
        </w:rPr>
        <w:t xml:space="preserve"> </w:t>
      </w:r>
      <w:r>
        <w:rPr>
          <w:rFonts w:asciiTheme="majorBidi" w:hAnsiTheme="majorBidi" w:cstheme="majorBidi"/>
          <w:sz w:val="24"/>
          <w:szCs w:val="24"/>
        </w:rPr>
        <w:t>mais aussi</w:t>
      </w:r>
      <w:r w:rsidRPr="007650A0">
        <w:rPr>
          <w:rFonts w:asciiTheme="majorBidi" w:hAnsiTheme="majorBidi" w:cstheme="majorBidi"/>
          <w:sz w:val="24"/>
          <w:szCs w:val="24"/>
        </w:rPr>
        <w:t xml:space="preserve"> </w:t>
      </w:r>
      <w:r>
        <w:rPr>
          <w:rFonts w:asciiTheme="majorBidi" w:hAnsiTheme="majorBidi" w:cstheme="majorBidi"/>
          <w:sz w:val="24"/>
          <w:szCs w:val="24"/>
        </w:rPr>
        <w:tab/>
      </w:r>
      <w:r w:rsidRPr="007650A0">
        <w:rPr>
          <w:rFonts w:asciiTheme="majorBidi" w:hAnsiTheme="majorBidi" w:cstheme="majorBidi"/>
          <w:sz w:val="24"/>
          <w:szCs w:val="24"/>
        </w:rPr>
        <w:t>celui de l’</w:t>
      </w:r>
      <w:r w:rsidRPr="007650A0">
        <w:rPr>
          <w:rFonts w:asciiTheme="majorBidi" w:hAnsiTheme="majorBidi" w:cstheme="majorBidi"/>
          <w:smallCaps/>
          <w:sz w:val="24"/>
          <w:szCs w:val="24"/>
        </w:rPr>
        <w:t xml:space="preserve">Onu. </w:t>
      </w:r>
      <w:r w:rsidRPr="007650A0">
        <w:rPr>
          <w:rFonts w:asciiTheme="majorBidi" w:hAnsiTheme="majorBidi" w:cstheme="majorBidi"/>
          <w:sz w:val="24"/>
          <w:szCs w:val="24"/>
        </w:rPr>
        <w:t>Bien que les deux modèles comportent de très nombreuses dispositions communes, ils présentent néanmoins des divergences</w:t>
      </w:r>
      <w:r>
        <w:rPr>
          <w:rFonts w:asciiTheme="majorBidi" w:hAnsiTheme="majorBidi" w:cstheme="majorBidi"/>
          <w:sz w:val="24"/>
          <w:szCs w:val="24"/>
        </w:rPr>
        <w:t xml:space="preserve">, notamment en ce qui concerne </w:t>
      </w:r>
      <w:r w:rsidRPr="007650A0">
        <w:rPr>
          <w:rFonts w:asciiTheme="majorBidi" w:hAnsiTheme="majorBidi" w:cstheme="majorBidi"/>
          <w:sz w:val="24"/>
          <w:szCs w:val="24"/>
        </w:rPr>
        <w:t>le régime d’imposition des dividendes, des redevances, des intérêts ou encore des professions indépendantes se rapportant aux non-résidents</w:t>
      </w:r>
      <w:r>
        <w:rPr>
          <w:rFonts w:asciiTheme="majorBidi" w:hAnsiTheme="majorBidi" w:cstheme="majorBidi"/>
          <w:sz w:val="24"/>
          <w:szCs w:val="24"/>
        </w:rPr>
        <w:t xml:space="preserve">. </w:t>
      </w:r>
    </w:p>
    <w:p w:rsidR="00677265" w:rsidRDefault="00677265"/>
    <w:sectPr w:rsidR="00677265" w:rsidSect="00D11EA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9F5" w:rsidRDefault="001A59F5" w:rsidP="00316F12">
      <w:pPr>
        <w:spacing w:after="0" w:line="240" w:lineRule="auto"/>
      </w:pPr>
      <w:r>
        <w:separator/>
      </w:r>
    </w:p>
  </w:endnote>
  <w:endnote w:type="continuationSeparator" w:id="1">
    <w:p w:rsidR="001A59F5" w:rsidRDefault="001A59F5" w:rsidP="00316F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9F5" w:rsidRDefault="001A59F5" w:rsidP="00316F12">
      <w:pPr>
        <w:spacing w:after="0" w:line="240" w:lineRule="auto"/>
      </w:pPr>
      <w:r>
        <w:separator/>
      </w:r>
    </w:p>
  </w:footnote>
  <w:footnote w:type="continuationSeparator" w:id="1">
    <w:p w:rsidR="001A59F5" w:rsidRDefault="001A59F5" w:rsidP="00316F12">
      <w:pPr>
        <w:spacing w:after="0" w:line="240" w:lineRule="auto"/>
      </w:pPr>
      <w:r>
        <w:continuationSeparator/>
      </w:r>
    </w:p>
  </w:footnote>
  <w:footnote w:id="2">
    <w:p w:rsidR="00316F12" w:rsidRPr="001A680C" w:rsidRDefault="00316F12" w:rsidP="00316F12">
      <w:pPr>
        <w:pStyle w:val="Notedebasdepage"/>
        <w:ind w:left="284" w:hanging="284"/>
        <w:jc w:val="both"/>
        <w:rPr>
          <w:rFonts w:asciiTheme="majorBidi" w:hAnsiTheme="majorBidi" w:cstheme="majorBidi"/>
        </w:rPr>
      </w:pPr>
      <w:r w:rsidRPr="001A680C">
        <w:rPr>
          <w:rStyle w:val="Appelnotedebasdep"/>
          <w:rFonts w:asciiTheme="majorBidi" w:hAnsiTheme="majorBidi" w:cstheme="majorBidi"/>
        </w:rPr>
        <w:footnoteRef/>
      </w:r>
      <w:r w:rsidRPr="001A680C">
        <w:rPr>
          <w:rFonts w:asciiTheme="majorBidi" w:hAnsiTheme="majorBidi" w:cstheme="majorBidi"/>
        </w:rPr>
        <w:t xml:space="preserve"> Loi organique n° 18-15 du 2 septembre 2018 relative aux lois de finances, JORA n° 53, 2018. L’article 1</w:t>
      </w:r>
      <w:r w:rsidRPr="001A680C">
        <w:rPr>
          <w:rFonts w:asciiTheme="majorBidi" w:hAnsiTheme="majorBidi" w:cstheme="majorBidi"/>
          <w:vertAlign w:val="superscript"/>
        </w:rPr>
        <w:t>er</w:t>
      </w:r>
      <w:r w:rsidRPr="001A680C">
        <w:rPr>
          <w:rFonts w:asciiTheme="majorBidi" w:hAnsiTheme="majorBidi" w:cstheme="majorBidi"/>
        </w:rPr>
        <w:t xml:space="preserve">  détermine son objet qui est « de définir le cadre de gestion des finances de l’Etat devant régir la préparation des lois de finances, leur contenu, leur mode de présentation et leur adoption par le Parlement ».</w:t>
      </w:r>
    </w:p>
  </w:footnote>
  <w:footnote w:id="3">
    <w:p w:rsidR="00316F12" w:rsidRPr="00CE3AF9" w:rsidRDefault="00316F12" w:rsidP="00316F12">
      <w:pPr>
        <w:pStyle w:val="Notedebasdepage"/>
        <w:ind w:left="284" w:hanging="284"/>
        <w:jc w:val="both"/>
        <w:rPr>
          <w:rFonts w:asciiTheme="majorBidi" w:hAnsiTheme="majorBidi" w:cstheme="majorBidi"/>
        </w:rPr>
      </w:pPr>
      <w:r w:rsidRPr="00CE3AF9">
        <w:rPr>
          <w:rStyle w:val="Appelnotedebasdep"/>
          <w:rFonts w:asciiTheme="majorBidi" w:hAnsiTheme="majorBidi" w:cstheme="majorBidi"/>
        </w:rPr>
        <w:footnoteRef/>
      </w:r>
      <w:r w:rsidRPr="00CE3AF9">
        <w:rPr>
          <w:rFonts w:asciiTheme="majorBidi" w:hAnsiTheme="majorBidi" w:cstheme="majorBidi"/>
        </w:rPr>
        <w:t xml:space="preserve"> </w:t>
      </w:r>
      <w:r>
        <w:rPr>
          <w:rFonts w:asciiTheme="majorBidi" w:hAnsiTheme="majorBidi" w:cstheme="majorBidi"/>
        </w:rPr>
        <w:t>O</w:t>
      </w:r>
      <w:r w:rsidRPr="00CE3AF9">
        <w:rPr>
          <w:rFonts w:asciiTheme="majorBidi" w:hAnsiTheme="majorBidi" w:cstheme="majorBidi"/>
        </w:rPr>
        <w:t xml:space="preserve">rganisation internationale créée au lendemain de la première guerre mondiale en vertu du traité de Versailles. </w:t>
      </w:r>
    </w:p>
  </w:footnote>
  <w:footnote w:id="4">
    <w:p w:rsidR="00316F12" w:rsidRPr="00CE3AF9" w:rsidRDefault="00316F12" w:rsidP="00316F12">
      <w:pPr>
        <w:pStyle w:val="Notedebasdepage"/>
        <w:ind w:left="284" w:hanging="284"/>
        <w:jc w:val="both"/>
        <w:rPr>
          <w:rFonts w:asciiTheme="majorBidi" w:hAnsiTheme="majorBidi" w:cstheme="majorBidi"/>
        </w:rPr>
      </w:pPr>
      <w:r w:rsidRPr="00CE3AF9">
        <w:rPr>
          <w:rStyle w:val="Appelnotedebasdep"/>
          <w:rFonts w:asciiTheme="majorBidi" w:hAnsiTheme="majorBidi" w:cstheme="majorBidi"/>
        </w:rPr>
        <w:footnoteRef/>
      </w:r>
      <w:r w:rsidRPr="00CE3AF9">
        <w:rPr>
          <w:rFonts w:asciiTheme="majorBidi" w:hAnsiTheme="majorBidi" w:cstheme="majorBidi"/>
        </w:rPr>
        <w:t xml:space="preserve"> Ceux-ci prévoient dans un même document trois modèles de convention bilatérale : un premier tendant à éviter les doubles impositions en matière de revenus et de fortune ; un second en matière de successions et un troisième modèle pour l’établissement d’une assistance administrative réciproque en matière d’assiette et de recouvrement des impôts sur le revenu, la fortune et les successions</w:t>
      </w:r>
      <w:r>
        <w:rPr>
          <w:rFonts w:asciiTheme="majorBidi" w:hAnsiTheme="majorBidi" w:cstheme="majorBidi"/>
        </w:rPr>
        <w:t xml:space="preserve">. </w:t>
      </w:r>
    </w:p>
  </w:footnote>
  <w:footnote w:id="5">
    <w:p w:rsidR="00316F12" w:rsidRPr="00A01D52" w:rsidRDefault="00316F12" w:rsidP="00316F12">
      <w:pPr>
        <w:spacing w:after="0" w:line="240" w:lineRule="auto"/>
        <w:ind w:left="284" w:hanging="284"/>
        <w:jc w:val="both"/>
        <w:rPr>
          <w:rFonts w:asciiTheme="majorBidi" w:hAnsiTheme="majorBidi" w:cstheme="majorBidi"/>
          <w:sz w:val="20"/>
          <w:szCs w:val="20"/>
        </w:rPr>
      </w:pPr>
      <w:r w:rsidRPr="00160E92">
        <w:rPr>
          <w:rStyle w:val="Appelnotedebasdep"/>
          <w:rFonts w:asciiTheme="majorBidi" w:hAnsiTheme="majorBidi" w:cstheme="majorBidi"/>
          <w:sz w:val="20"/>
          <w:szCs w:val="20"/>
        </w:rPr>
        <w:footnoteRef/>
      </w:r>
      <w:r w:rsidRPr="00160E92">
        <w:rPr>
          <w:rFonts w:asciiTheme="majorBidi" w:hAnsiTheme="majorBidi" w:cstheme="majorBidi"/>
          <w:sz w:val="20"/>
          <w:szCs w:val="20"/>
        </w:rPr>
        <w:t xml:space="preserve"> Si l’Algérie a signé le modèle de convention sur la double imposition, il e</w:t>
      </w:r>
      <w:r>
        <w:rPr>
          <w:rFonts w:asciiTheme="majorBidi" w:hAnsiTheme="majorBidi" w:cstheme="majorBidi"/>
          <w:sz w:val="20"/>
          <w:szCs w:val="20"/>
        </w:rPr>
        <w:t>s</w:t>
      </w:r>
      <w:r w:rsidRPr="00160E92">
        <w:rPr>
          <w:rFonts w:asciiTheme="majorBidi" w:hAnsiTheme="majorBidi" w:cstheme="majorBidi"/>
          <w:sz w:val="20"/>
          <w:szCs w:val="20"/>
        </w:rPr>
        <w:t xml:space="preserve">t regrettable de constater qu’elle n’a </w:t>
      </w:r>
      <w:r>
        <w:rPr>
          <w:rFonts w:asciiTheme="majorBidi" w:hAnsiTheme="majorBidi" w:cstheme="majorBidi"/>
          <w:sz w:val="20"/>
          <w:szCs w:val="20"/>
        </w:rPr>
        <w:t xml:space="preserve">pas encore </w:t>
      </w:r>
      <w:r w:rsidRPr="00160E92">
        <w:rPr>
          <w:rFonts w:asciiTheme="majorBidi" w:hAnsiTheme="majorBidi" w:cstheme="majorBidi"/>
          <w:sz w:val="20"/>
          <w:szCs w:val="20"/>
        </w:rPr>
        <w:t>sig</w:t>
      </w:r>
      <w:r>
        <w:rPr>
          <w:rFonts w:asciiTheme="majorBidi" w:hAnsiTheme="majorBidi" w:cstheme="majorBidi"/>
          <w:sz w:val="20"/>
          <w:szCs w:val="20"/>
        </w:rPr>
        <w:t xml:space="preserve">né ni la Convention </w:t>
      </w:r>
      <w:r w:rsidRPr="00160E92">
        <w:rPr>
          <w:rFonts w:asciiTheme="majorBidi" w:hAnsiTheme="majorBidi" w:cstheme="majorBidi"/>
          <w:sz w:val="20"/>
          <w:szCs w:val="20"/>
        </w:rPr>
        <w:t xml:space="preserve">multilatérale d’assistance </w:t>
      </w:r>
      <w:r w:rsidRPr="00A01D52">
        <w:rPr>
          <w:rFonts w:asciiTheme="majorBidi" w:hAnsiTheme="majorBidi" w:cstheme="majorBidi"/>
          <w:sz w:val="20"/>
          <w:szCs w:val="20"/>
        </w:rPr>
        <w:t>administrative mutuelle en matière fiscale ni l’Accord sur l’échange de renseignements en matière fiscale. S’agissant de</w:t>
      </w:r>
      <w:r>
        <w:rPr>
          <w:rFonts w:asciiTheme="majorBidi" w:hAnsiTheme="majorBidi" w:cstheme="majorBidi"/>
          <w:sz w:val="20"/>
          <w:szCs w:val="20"/>
        </w:rPr>
        <w:t xml:space="preserve"> la</w:t>
      </w:r>
      <w:r w:rsidRPr="00A01D52">
        <w:rPr>
          <w:rFonts w:asciiTheme="majorBidi" w:hAnsiTheme="majorBidi" w:cstheme="majorBidi"/>
          <w:sz w:val="20"/>
          <w:szCs w:val="20"/>
        </w:rPr>
        <w:t xml:space="preserve"> Convention multilatérale </w:t>
      </w:r>
      <w:r w:rsidRPr="00A01D52">
        <w:rPr>
          <w:rStyle w:val="lev"/>
          <w:rFonts w:asciiTheme="majorBidi" w:hAnsiTheme="majorBidi" w:cstheme="majorBidi"/>
          <w:color w:val="111111"/>
          <w:sz w:val="20"/>
          <w:szCs w:val="20"/>
          <w:shd w:val="clear" w:color="auto" w:fill="FFFFFF"/>
        </w:rPr>
        <w:t>pour la mise en œuvre des mesures relatives aux conventions fiscales pour prévenir l’érosion de la base d’imposition et le transfert de bénéfices</w:t>
      </w:r>
      <w:r>
        <w:rPr>
          <w:rStyle w:val="lev"/>
          <w:rFonts w:asciiTheme="majorBidi" w:hAnsiTheme="majorBidi" w:cstheme="majorBidi"/>
          <w:b w:val="0"/>
          <w:bCs w:val="0"/>
          <w:color w:val="111111"/>
          <w:sz w:val="20"/>
          <w:szCs w:val="20"/>
          <w:shd w:val="clear" w:color="auto" w:fill="FFFFFF"/>
        </w:rPr>
        <w:t xml:space="preserve">, l’Algérie a émis son intention à la signer.   </w:t>
      </w:r>
    </w:p>
  </w:footnote>
  <w:footnote w:id="6">
    <w:p w:rsidR="00316F12" w:rsidRPr="00A01D52" w:rsidRDefault="00316F12" w:rsidP="00316F12">
      <w:pPr>
        <w:pStyle w:val="Notedebasdepage"/>
        <w:ind w:left="284" w:hanging="284"/>
        <w:jc w:val="both"/>
        <w:rPr>
          <w:rFonts w:asciiTheme="majorBidi" w:hAnsiTheme="majorBidi" w:cstheme="majorBidi"/>
        </w:rPr>
      </w:pPr>
      <w:r w:rsidRPr="00A01D52">
        <w:rPr>
          <w:rStyle w:val="Appelnotedebasdep"/>
          <w:rFonts w:asciiTheme="majorBidi" w:hAnsiTheme="majorBidi" w:cstheme="majorBidi"/>
        </w:rPr>
        <w:footnoteRef/>
      </w:r>
      <w:r w:rsidRPr="00A01D52">
        <w:rPr>
          <w:rFonts w:asciiTheme="majorBidi" w:hAnsiTheme="majorBidi" w:cstheme="majorBidi"/>
        </w:rPr>
        <w:t xml:space="preserve"> Voir le site mfdgi.dz. </w:t>
      </w:r>
    </w:p>
  </w:footnote>
  <w:footnote w:id="7">
    <w:p w:rsidR="00316F12" w:rsidRPr="007F3F87" w:rsidRDefault="00316F12" w:rsidP="00316F12">
      <w:pPr>
        <w:pStyle w:val="Notedebasdepage"/>
        <w:ind w:left="284" w:hanging="284"/>
        <w:jc w:val="both"/>
        <w:rPr>
          <w:rFonts w:asciiTheme="majorBidi" w:hAnsiTheme="majorBidi" w:cstheme="majorBidi"/>
        </w:rPr>
      </w:pPr>
      <w:r w:rsidRPr="007F3F87">
        <w:rPr>
          <w:rStyle w:val="Appelnotedebasdep"/>
          <w:rFonts w:asciiTheme="majorBidi" w:hAnsiTheme="majorBidi" w:cstheme="majorBidi"/>
        </w:rPr>
        <w:footnoteRef/>
      </w:r>
      <w:r w:rsidRPr="007F3F87">
        <w:rPr>
          <w:rFonts w:asciiTheme="majorBidi" w:hAnsiTheme="majorBidi" w:cstheme="majorBidi"/>
        </w:rPr>
        <w:t xml:space="preserve"> Voir le site de la direction générale des impôts mfdgi.giv.dz.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F1391"/>
    <w:multiLevelType w:val="hybridMultilevel"/>
    <w:tmpl w:val="1E26EBEA"/>
    <w:lvl w:ilvl="0" w:tplc="61243B08">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nsid w:val="12661311"/>
    <w:multiLevelType w:val="hybridMultilevel"/>
    <w:tmpl w:val="7180C152"/>
    <w:lvl w:ilvl="0" w:tplc="35E02052">
      <w:start w:val="1"/>
      <w:numFmt w:val="bullet"/>
      <w:lvlText w:val="-"/>
      <w:lvlJc w:val="left"/>
      <w:pPr>
        <w:ind w:left="1069" w:hanging="360"/>
      </w:pPr>
      <w:rPr>
        <w:rFonts w:ascii="Times New Roman" w:eastAsiaTheme="minorHAns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316F12"/>
    <w:rsid w:val="001A59F5"/>
    <w:rsid w:val="00316F12"/>
    <w:rsid w:val="00377E10"/>
    <w:rsid w:val="00677265"/>
    <w:rsid w:val="00D11EA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F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6F12"/>
    <w:pPr>
      <w:ind w:left="720"/>
      <w:contextualSpacing/>
    </w:pPr>
  </w:style>
  <w:style w:type="paragraph" w:styleId="Notedebasdepage">
    <w:name w:val="footnote text"/>
    <w:basedOn w:val="Normal"/>
    <w:link w:val="NotedebasdepageCar"/>
    <w:uiPriority w:val="99"/>
    <w:unhideWhenUsed/>
    <w:rsid w:val="00316F12"/>
    <w:pPr>
      <w:spacing w:after="0" w:line="240" w:lineRule="auto"/>
    </w:pPr>
    <w:rPr>
      <w:sz w:val="20"/>
      <w:szCs w:val="20"/>
    </w:rPr>
  </w:style>
  <w:style w:type="character" w:customStyle="1" w:styleId="NotedebasdepageCar">
    <w:name w:val="Note de bas de page Car"/>
    <w:basedOn w:val="Policepardfaut"/>
    <w:link w:val="Notedebasdepage"/>
    <w:uiPriority w:val="99"/>
    <w:rsid w:val="00316F12"/>
    <w:rPr>
      <w:sz w:val="20"/>
      <w:szCs w:val="20"/>
    </w:rPr>
  </w:style>
  <w:style w:type="character" w:styleId="Appelnotedebasdep">
    <w:name w:val="footnote reference"/>
    <w:basedOn w:val="Policepardfaut"/>
    <w:uiPriority w:val="99"/>
    <w:unhideWhenUsed/>
    <w:rsid w:val="00316F12"/>
    <w:rPr>
      <w:vertAlign w:val="superscript"/>
    </w:rPr>
  </w:style>
  <w:style w:type="character" w:styleId="lev">
    <w:name w:val="Strong"/>
    <w:basedOn w:val="Policepardfaut"/>
    <w:uiPriority w:val="22"/>
    <w:qFormat/>
    <w:rsid w:val="00316F1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1517</Words>
  <Characters>8345</Characters>
  <Application>Microsoft Office Word</Application>
  <DocSecurity>0</DocSecurity>
  <Lines>69</Lines>
  <Paragraphs>19</Paragraphs>
  <ScaleCrop>false</ScaleCrop>
  <Company/>
  <LinksUpToDate>false</LinksUpToDate>
  <CharactersWithSpaces>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2021-11-09T13:40:00Z</dcterms:created>
  <dcterms:modified xsi:type="dcterms:W3CDTF">2021-11-09T13:41:00Z</dcterms:modified>
</cp:coreProperties>
</file>