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6F" w:rsidRPr="00DA47E1" w:rsidRDefault="0016086F" w:rsidP="0016086F">
      <w:pPr>
        <w:tabs>
          <w:tab w:val="right" w:pos="516"/>
          <w:tab w:val="right" w:pos="658"/>
        </w:tabs>
        <w:bidi/>
        <w:ind w:left="91" w:firstLine="283"/>
        <w:jc w:val="center"/>
        <w:rPr>
          <w:rFonts w:asciiTheme="majorBidi" w:hAnsiTheme="majorBidi" w:cs="Simplified Arabic"/>
          <w:b/>
          <w:bCs/>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 xml:space="preserve">إعداد الأستاذة : عنصر </w:t>
      </w:r>
      <w:proofErr w:type="spellStart"/>
      <w:r>
        <w:rPr>
          <w:rFonts w:asciiTheme="majorBidi" w:hAnsiTheme="majorBidi" w:cs="Simplified Arabic" w:hint="cs"/>
          <w:b/>
          <w:bCs/>
          <w:color w:val="262626" w:themeColor="text1" w:themeTint="D9"/>
          <w:sz w:val="28"/>
          <w:szCs w:val="28"/>
          <w:rtl/>
          <w:lang w:bidi="ar-DZ"/>
        </w:rPr>
        <w:t>الهــوارية</w:t>
      </w:r>
      <w:proofErr w:type="spellEnd"/>
      <w:r>
        <w:rPr>
          <w:rFonts w:asciiTheme="majorBidi" w:hAnsiTheme="majorBidi" w:cs="Simplified Arabic" w:hint="cs"/>
          <w:b/>
          <w:bCs/>
          <w:color w:val="262626" w:themeColor="text1" w:themeTint="D9"/>
          <w:sz w:val="28"/>
          <w:szCs w:val="28"/>
          <w:rtl/>
          <w:lang w:bidi="ar-DZ"/>
        </w:rPr>
        <w:t xml:space="preserve"> </w:t>
      </w:r>
    </w:p>
    <w:p w:rsidR="00037418" w:rsidRDefault="00037418" w:rsidP="0016086F">
      <w:pPr>
        <w:tabs>
          <w:tab w:val="right" w:pos="516"/>
          <w:tab w:val="right" w:pos="658"/>
        </w:tabs>
        <w:bidi/>
        <w:ind w:left="91" w:firstLine="283"/>
        <w:jc w:val="both"/>
        <w:rPr>
          <w:rFonts w:asciiTheme="majorBidi" w:hAnsiTheme="majorBidi" w:cs="Simplified Arabic"/>
          <w:b/>
          <w:bCs/>
          <w:color w:val="262626" w:themeColor="text1" w:themeTint="D9"/>
          <w:sz w:val="28"/>
          <w:szCs w:val="28"/>
          <w:rtl/>
          <w:lang w:bidi="ar-DZ"/>
        </w:rPr>
      </w:pPr>
      <w:proofErr w:type="gramStart"/>
      <w:r>
        <w:rPr>
          <w:rFonts w:asciiTheme="majorBidi" w:hAnsiTheme="majorBidi" w:cs="Simplified Arabic" w:hint="cs"/>
          <w:b/>
          <w:bCs/>
          <w:color w:val="262626" w:themeColor="text1" w:themeTint="D9"/>
          <w:sz w:val="28"/>
          <w:szCs w:val="28"/>
          <w:rtl/>
          <w:lang w:bidi="ar-DZ"/>
        </w:rPr>
        <w:t>الدرس</w:t>
      </w:r>
      <w:proofErr w:type="gramEnd"/>
      <w:r>
        <w:rPr>
          <w:rFonts w:asciiTheme="majorBidi" w:hAnsiTheme="majorBidi" w:cs="Simplified Arabic" w:hint="cs"/>
          <w:b/>
          <w:bCs/>
          <w:color w:val="262626" w:themeColor="text1" w:themeTint="D9"/>
          <w:sz w:val="28"/>
          <w:szCs w:val="28"/>
          <w:rtl/>
          <w:lang w:bidi="ar-DZ"/>
        </w:rPr>
        <w:t xml:space="preserve"> الثالث:</w:t>
      </w:r>
    </w:p>
    <w:p w:rsidR="00037418" w:rsidRDefault="00037418" w:rsidP="00037418">
      <w:pPr>
        <w:tabs>
          <w:tab w:val="right" w:pos="516"/>
          <w:tab w:val="right" w:pos="658"/>
        </w:tabs>
        <w:bidi/>
        <w:ind w:left="91" w:firstLine="283"/>
        <w:jc w:val="both"/>
        <w:rPr>
          <w:rFonts w:asciiTheme="majorBidi" w:hAnsiTheme="majorBidi" w:cs="Simplified Arabic"/>
          <w:b/>
          <w:bCs/>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3-</w:t>
      </w:r>
      <w:r w:rsidRPr="00B21F79">
        <w:rPr>
          <w:rFonts w:asciiTheme="majorBidi" w:hAnsiTheme="majorBidi" w:cs="Simplified Arabic" w:hint="cs"/>
          <w:b/>
          <w:bCs/>
          <w:color w:val="262626" w:themeColor="text1" w:themeTint="D9"/>
          <w:sz w:val="28"/>
          <w:szCs w:val="28"/>
          <w:rtl/>
          <w:lang w:bidi="ar-DZ"/>
        </w:rPr>
        <w:t xml:space="preserve"> </w:t>
      </w:r>
      <w:proofErr w:type="gramStart"/>
      <w:r>
        <w:rPr>
          <w:rFonts w:asciiTheme="majorBidi" w:hAnsiTheme="majorBidi" w:cs="Simplified Arabic" w:hint="cs"/>
          <w:b/>
          <w:bCs/>
          <w:color w:val="262626" w:themeColor="text1" w:themeTint="D9"/>
          <w:sz w:val="28"/>
          <w:szCs w:val="28"/>
          <w:rtl/>
          <w:lang w:bidi="ar-DZ"/>
        </w:rPr>
        <w:t>جريمة</w:t>
      </w:r>
      <w:proofErr w:type="gramEnd"/>
      <w:r>
        <w:rPr>
          <w:rFonts w:asciiTheme="majorBidi" w:hAnsiTheme="majorBidi" w:cs="Simplified Arabic" w:hint="cs"/>
          <w:b/>
          <w:bCs/>
          <w:color w:val="262626" w:themeColor="text1" w:themeTint="D9"/>
          <w:sz w:val="28"/>
          <w:szCs w:val="28"/>
          <w:rtl/>
          <w:lang w:bidi="ar-DZ"/>
        </w:rPr>
        <w:t xml:space="preserve"> القتل والجرح الخطأ:</w:t>
      </w:r>
    </w:p>
    <w:p w:rsidR="00037418" w:rsidRDefault="00037418" w:rsidP="0016086F">
      <w:pPr>
        <w:tabs>
          <w:tab w:val="right" w:pos="516"/>
          <w:tab w:val="right" w:pos="658"/>
        </w:tabs>
        <w:bidi/>
        <w:ind w:left="91" w:firstLine="567"/>
        <w:jc w:val="both"/>
        <w:rPr>
          <w:rFonts w:asciiTheme="majorBidi" w:hAnsiTheme="majorBidi" w:cs="Simplified Arabic"/>
          <w:color w:val="262626" w:themeColor="text1" w:themeTint="D9"/>
          <w:sz w:val="28"/>
          <w:szCs w:val="28"/>
          <w:rtl/>
          <w:lang w:bidi="ar-DZ"/>
        </w:rPr>
      </w:pPr>
      <w:r>
        <w:rPr>
          <w:rFonts w:asciiTheme="majorBidi" w:hAnsiTheme="majorBidi" w:cs="Simplified Arabic" w:hint="cs"/>
          <w:color w:val="262626" w:themeColor="text1" w:themeTint="D9"/>
          <w:sz w:val="28"/>
          <w:szCs w:val="28"/>
          <w:rtl/>
          <w:lang w:bidi="ar-DZ"/>
        </w:rPr>
        <w:t xml:space="preserve">يعتبر القتل الجرح الخطأ من أعمال العنف غير العمدية منصوص عليهما في المادتين 288 ، 289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 xml:space="preserve">، </w:t>
      </w:r>
      <w:proofErr w:type="gramStart"/>
      <w:r>
        <w:rPr>
          <w:rFonts w:asciiTheme="majorBidi" w:hAnsiTheme="majorBidi" w:cs="Simplified Arabic" w:hint="cs"/>
          <w:color w:val="262626" w:themeColor="text1" w:themeTint="D9"/>
          <w:sz w:val="28"/>
          <w:szCs w:val="28"/>
          <w:rtl/>
          <w:lang w:bidi="ar-DZ"/>
        </w:rPr>
        <w:t>كذلك</w:t>
      </w:r>
      <w:proofErr w:type="gramEnd"/>
      <w:r>
        <w:rPr>
          <w:rFonts w:asciiTheme="majorBidi" w:hAnsiTheme="majorBidi" w:cs="Simplified Arabic" w:hint="cs"/>
          <w:color w:val="262626" w:themeColor="text1" w:themeTint="D9"/>
          <w:sz w:val="28"/>
          <w:szCs w:val="28"/>
          <w:rtl/>
          <w:lang w:bidi="ar-DZ"/>
        </w:rPr>
        <w:t xml:space="preserve"> المادة 442 /2 </w:t>
      </w:r>
      <w:proofErr w:type="spellStart"/>
      <w:r>
        <w:rPr>
          <w:rFonts w:asciiTheme="majorBidi" w:hAnsiTheme="majorBidi" w:cs="Simplified Arabic" w:hint="cs"/>
          <w:color w:val="262626" w:themeColor="text1" w:themeTint="D9"/>
          <w:sz w:val="28"/>
          <w:szCs w:val="28"/>
          <w:rtl/>
          <w:lang w:bidi="ar-DZ"/>
        </w:rPr>
        <w:t>ق.ع</w:t>
      </w:r>
      <w:proofErr w:type="spellEnd"/>
      <w:r w:rsidR="0016086F">
        <w:rPr>
          <w:rFonts w:asciiTheme="majorBidi" w:hAnsiTheme="majorBidi" w:cs="Simplified Arabic" w:hint="cs"/>
          <w:color w:val="262626" w:themeColor="text1" w:themeTint="D9"/>
          <w:sz w:val="28"/>
          <w:szCs w:val="28"/>
          <w:rtl/>
          <w:lang w:bidi="ar-DZ"/>
        </w:rPr>
        <w:t>.</w:t>
      </w:r>
      <w:bookmarkStart w:id="0" w:name="_GoBack"/>
      <w:bookmarkEnd w:id="0"/>
      <w:r>
        <w:rPr>
          <w:rFonts w:asciiTheme="majorBidi" w:hAnsiTheme="majorBidi" w:cs="Simplified Arabic" w:hint="cs"/>
          <w:color w:val="262626" w:themeColor="text1" w:themeTint="D9"/>
          <w:sz w:val="28"/>
          <w:szCs w:val="28"/>
          <w:rtl/>
          <w:lang w:bidi="ar-DZ"/>
        </w:rPr>
        <w:t xml:space="preserve"> </w:t>
      </w:r>
    </w:p>
    <w:p w:rsidR="00037418" w:rsidRDefault="00037418" w:rsidP="00037418">
      <w:pPr>
        <w:tabs>
          <w:tab w:val="right" w:pos="516"/>
          <w:tab w:val="right" w:pos="658"/>
        </w:tabs>
        <w:bidi/>
        <w:ind w:left="91" w:firstLine="567"/>
        <w:jc w:val="both"/>
        <w:rPr>
          <w:rFonts w:asciiTheme="majorBidi" w:hAnsiTheme="majorBidi" w:cs="Simplified Arabic"/>
          <w:color w:val="262626" w:themeColor="text1" w:themeTint="D9"/>
          <w:sz w:val="28"/>
          <w:szCs w:val="28"/>
          <w:rtl/>
          <w:lang w:bidi="ar-DZ"/>
        </w:rPr>
      </w:pPr>
      <w:r>
        <w:rPr>
          <w:rFonts w:asciiTheme="majorBidi" w:hAnsiTheme="majorBidi" w:cs="Simplified Arabic" w:hint="cs"/>
          <w:color w:val="262626" w:themeColor="text1" w:themeTint="D9"/>
          <w:sz w:val="28"/>
          <w:szCs w:val="28"/>
          <w:rtl/>
          <w:lang w:bidi="ar-DZ"/>
        </w:rPr>
        <w:t xml:space="preserve">قد عرف المشرع الجزائري القتل </w:t>
      </w:r>
      <w:proofErr w:type="gramStart"/>
      <w:r>
        <w:rPr>
          <w:rFonts w:asciiTheme="majorBidi" w:hAnsiTheme="majorBidi" w:cs="Simplified Arabic" w:hint="cs"/>
          <w:color w:val="262626" w:themeColor="text1" w:themeTint="D9"/>
          <w:sz w:val="28"/>
          <w:szCs w:val="28"/>
          <w:rtl/>
          <w:lang w:bidi="ar-DZ"/>
        </w:rPr>
        <w:t>الخطأ</w:t>
      </w:r>
      <w:proofErr w:type="gramEnd"/>
      <w:r>
        <w:rPr>
          <w:rFonts w:asciiTheme="majorBidi" w:hAnsiTheme="majorBidi" w:cs="Simplified Arabic" w:hint="cs"/>
          <w:color w:val="262626" w:themeColor="text1" w:themeTint="D9"/>
          <w:sz w:val="28"/>
          <w:szCs w:val="28"/>
          <w:rtl/>
          <w:lang w:bidi="ar-DZ"/>
        </w:rPr>
        <w:t xml:space="preserve"> في المادة 288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 xml:space="preserve"> </w:t>
      </w:r>
      <w:proofErr w:type="gramStart"/>
      <w:r>
        <w:rPr>
          <w:rFonts w:asciiTheme="majorBidi" w:hAnsiTheme="majorBidi" w:cs="Simplified Arabic" w:hint="cs"/>
          <w:color w:val="262626" w:themeColor="text1" w:themeTint="D9"/>
          <w:sz w:val="28"/>
          <w:szCs w:val="28"/>
          <w:rtl/>
          <w:lang w:bidi="ar-DZ"/>
        </w:rPr>
        <w:t>على</w:t>
      </w:r>
      <w:proofErr w:type="gramEnd"/>
      <w:r>
        <w:rPr>
          <w:rFonts w:asciiTheme="majorBidi" w:hAnsiTheme="majorBidi" w:cs="Simplified Arabic" w:hint="cs"/>
          <w:color w:val="262626" w:themeColor="text1" w:themeTint="D9"/>
          <w:sz w:val="28"/>
          <w:szCs w:val="28"/>
          <w:rtl/>
          <w:lang w:bidi="ar-DZ"/>
        </w:rPr>
        <w:t xml:space="preserve"> أنه: "كل من قتل خطأ أو تسبب في ذلك برعونته أو عدم احتياطه أو عدم انتباهه أو إهماله أو عدم مراعاته الأنظمة، يعاقب بالحبس من ستة أشهر إلى ثلاث سنوات وبغرامة من 20.000 إلى 100.000 دينار" أما الجرح الخطأ فقد نصت عليه المادة 289  كما يلي: "إذا نتج عن الرعونة أو عن عدم الاحتياط إصابة أو جرح أو مرض أدى إلى العجز الكلي عن العمل لمدة تجاوز ثلاثة أشهر، فيعاقب الجاني بالحبس من شهرين إلى سنتين وبغرامة من 20.000 إلى 100.000 </w:t>
      </w:r>
      <w:proofErr w:type="gramStart"/>
      <w:r>
        <w:rPr>
          <w:rFonts w:asciiTheme="majorBidi" w:hAnsiTheme="majorBidi" w:cs="Simplified Arabic" w:hint="cs"/>
          <w:color w:val="262626" w:themeColor="text1" w:themeTint="D9"/>
          <w:sz w:val="28"/>
          <w:szCs w:val="28"/>
          <w:rtl/>
          <w:lang w:bidi="ar-DZ"/>
        </w:rPr>
        <w:t>دينار</w:t>
      </w:r>
      <w:proofErr w:type="gramEnd"/>
      <w:r>
        <w:rPr>
          <w:rFonts w:asciiTheme="majorBidi" w:hAnsiTheme="majorBidi" w:cs="Simplified Arabic" w:hint="cs"/>
          <w:color w:val="262626" w:themeColor="text1" w:themeTint="D9"/>
          <w:sz w:val="28"/>
          <w:szCs w:val="28"/>
          <w:rtl/>
          <w:lang w:bidi="ar-DZ"/>
        </w:rPr>
        <w:t xml:space="preserve">          أو بإحدى هاتين العقوبتين". </w:t>
      </w:r>
    </w:p>
    <w:p w:rsidR="00037418" w:rsidRPr="0032642E" w:rsidRDefault="00037418" w:rsidP="00037418">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r w:rsidRPr="0032642E">
        <w:rPr>
          <w:rFonts w:asciiTheme="majorBidi" w:hAnsiTheme="majorBidi" w:cs="Simplified Arabic" w:hint="cs"/>
          <w:b/>
          <w:bCs/>
          <w:color w:val="262626" w:themeColor="text1" w:themeTint="D9"/>
          <w:sz w:val="28"/>
          <w:szCs w:val="28"/>
          <w:rtl/>
          <w:lang w:bidi="ar-DZ"/>
        </w:rPr>
        <w:t xml:space="preserve">أ-أركان الجريمة: </w:t>
      </w:r>
    </w:p>
    <w:p w:rsidR="00037418" w:rsidRDefault="00037418" w:rsidP="00037418">
      <w:pPr>
        <w:tabs>
          <w:tab w:val="right" w:pos="516"/>
          <w:tab w:val="right" w:pos="658"/>
        </w:tabs>
        <w:bidi/>
        <w:ind w:left="91" w:firstLine="567"/>
        <w:jc w:val="both"/>
        <w:rPr>
          <w:rFonts w:asciiTheme="majorBidi" w:hAnsiTheme="majorBidi" w:cs="Simplified Arabic"/>
          <w:color w:val="262626" w:themeColor="text1" w:themeTint="D9"/>
          <w:sz w:val="28"/>
          <w:szCs w:val="28"/>
          <w:rtl/>
          <w:lang w:bidi="ar-DZ"/>
        </w:rPr>
      </w:pPr>
      <w:r w:rsidRPr="0032642E">
        <w:rPr>
          <w:rFonts w:asciiTheme="majorBidi" w:hAnsiTheme="majorBidi" w:cs="Simplified Arabic" w:hint="cs"/>
          <w:b/>
          <w:bCs/>
          <w:color w:val="262626" w:themeColor="text1" w:themeTint="D9"/>
          <w:sz w:val="28"/>
          <w:szCs w:val="28"/>
          <w:rtl/>
          <w:lang w:bidi="ar-DZ"/>
        </w:rPr>
        <w:t>-</w:t>
      </w:r>
      <w:proofErr w:type="gramStart"/>
      <w:r w:rsidRPr="0032642E">
        <w:rPr>
          <w:rFonts w:asciiTheme="majorBidi" w:hAnsiTheme="majorBidi" w:cs="Simplified Arabic" w:hint="cs"/>
          <w:b/>
          <w:bCs/>
          <w:color w:val="262626" w:themeColor="text1" w:themeTint="D9"/>
          <w:sz w:val="28"/>
          <w:szCs w:val="28"/>
          <w:rtl/>
          <w:lang w:bidi="ar-DZ"/>
        </w:rPr>
        <w:t>الركن</w:t>
      </w:r>
      <w:proofErr w:type="gramEnd"/>
      <w:r w:rsidRPr="0032642E">
        <w:rPr>
          <w:rFonts w:asciiTheme="majorBidi" w:hAnsiTheme="majorBidi" w:cs="Simplified Arabic" w:hint="cs"/>
          <w:b/>
          <w:bCs/>
          <w:color w:val="262626" w:themeColor="text1" w:themeTint="D9"/>
          <w:sz w:val="28"/>
          <w:szCs w:val="28"/>
          <w:rtl/>
          <w:lang w:bidi="ar-DZ"/>
        </w:rPr>
        <w:t xml:space="preserve"> المادي:</w:t>
      </w:r>
      <w:r>
        <w:rPr>
          <w:rFonts w:asciiTheme="majorBidi" w:hAnsiTheme="majorBidi" w:cs="Simplified Arabic" w:hint="cs"/>
          <w:color w:val="262626" w:themeColor="text1" w:themeTint="D9"/>
          <w:sz w:val="28"/>
          <w:szCs w:val="28"/>
          <w:rtl/>
          <w:lang w:bidi="ar-DZ"/>
        </w:rPr>
        <w:t xml:space="preserve"> لقيام الجريمة في صورتي القتل والجرح الخطأ يشترط أن يحدث قتل أو جرح مهما كانت طبيعته ووسيلته، أي إحداث النتيجة، كما يشترط أن يكون خطأ الجاني هو المتسبب فيها.</w:t>
      </w:r>
    </w:p>
    <w:p w:rsidR="00037418" w:rsidRDefault="00037418" w:rsidP="00037418">
      <w:pPr>
        <w:tabs>
          <w:tab w:val="right" w:pos="516"/>
          <w:tab w:val="right" w:pos="658"/>
        </w:tabs>
        <w:bidi/>
        <w:ind w:left="91" w:firstLine="567"/>
        <w:jc w:val="both"/>
        <w:rPr>
          <w:rFonts w:asciiTheme="majorBidi" w:hAnsiTheme="majorBidi" w:cs="Simplified Arabic"/>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w:t>
      </w:r>
      <w:r w:rsidRPr="002071E6">
        <w:rPr>
          <w:rFonts w:asciiTheme="majorBidi" w:hAnsiTheme="majorBidi" w:cs="Simplified Arabic" w:hint="cs"/>
          <w:b/>
          <w:bCs/>
          <w:color w:val="262626" w:themeColor="text1" w:themeTint="D9"/>
          <w:sz w:val="28"/>
          <w:szCs w:val="28"/>
          <w:rtl/>
          <w:lang w:bidi="ar-DZ"/>
        </w:rPr>
        <w:t>الركن المعنــوي</w:t>
      </w:r>
      <w:r>
        <w:rPr>
          <w:rFonts w:asciiTheme="majorBidi" w:hAnsiTheme="majorBidi" w:cs="Simplified Arabic" w:hint="cs"/>
          <w:color w:val="262626" w:themeColor="text1" w:themeTint="D9"/>
          <w:sz w:val="28"/>
          <w:szCs w:val="28"/>
          <w:rtl/>
          <w:lang w:bidi="ar-DZ"/>
        </w:rPr>
        <w:t>: تعتبر الجريمة بصورتيها غير عمدية تقوم على أساس الخطأ لأنهما يخلوان من نية المساس بحياة الضحية أي يرتكب الفعل بالخطأ وهو الركن المعنوي في الجريمة.</w:t>
      </w:r>
    </w:p>
    <w:p w:rsidR="00037418" w:rsidRDefault="00037418" w:rsidP="00037418">
      <w:pPr>
        <w:tabs>
          <w:tab w:val="right" w:pos="516"/>
          <w:tab w:val="right" w:pos="658"/>
        </w:tabs>
        <w:bidi/>
        <w:ind w:left="91" w:firstLine="567"/>
        <w:jc w:val="both"/>
        <w:rPr>
          <w:rFonts w:asciiTheme="majorBidi" w:hAnsiTheme="majorBidi" w:cs="Simplified Arabic"/>
          <w:color w:val="262626" w:themeColor="text1" w:themeTint="D9"/>
          <w:sz w:val="28"/>
          <w:szCs w:val="28"/>
          <w:rtl/>
          <w:lang w:bidi="ar-DZ"/>
        </w:rPr>
      </w:pPr>
      <w:proofErr w:type="gramStart"/>
      <w:r>
        <w:rPr>
          <w:rFonts w:asciiTheme="majorBidi" w:hAnsiTheme="majorBidi" w:cs="Simplified Arabic" w:hint="cs"/>
          <w:b/>
          <w:bCs/>
          <w:color w:val="262626" w:themeColor="text1" w:themeTint="D9"/>
          <w:sz w:val="28"/>
          <w:szCs w:val="28"/>
          <w:rtl/>
          <w:lang w:bidi="ar-DZ"/>
        </w:rPr>
        <w:t>وبالرجوع</w:t>
      </w:r>
      <w:proofErr w:type="gramEnd"/>
      <w:r>
        <w:rPr>
          <w:rFonts w:asciiTheme="majorBidi" w:hAnsiTheme="majorBidi" w:cs="Simplified Arabic" w:hint="cs"/>
          <w:b/>
          <w:bCs/>
          <w:color w:val="262626" w:themeColor="text1" w:themeTint="D9"/>
          <w:sz w:val="28"/>
          <w:szCs w:val="28"/>
          <w:rtl/>
          <w:lang w:bidi="ar-DZ"/>
        </w:rPr>
        <w:t xml:space="preserve"> لأحكام المادتين 288 و 289 </w:t>
      </w:r>
      <w:proofErr w:type="spellStart"/>
      <w:r>
        <w:rPr>
          <w:rFonts w:asciiTheme="majorBidi" w:hAnsiTheme="majorBidi" w:cs="Simplified Arabic" w:hint="cs"/>
          <w:b/>
          <w:bCs/>
          <w:color w:val="262626" w:themeColor="text1" w:themeTint="D9"/>
          <w:sz w:val="28"/>
          <w:szCs w:val="28"/>
          <w:rtl/>
          <w:lang w:bidi="ar-DZ"/>
        </w:rPr>
        <w:t>ق</w:t>
      </w:r>
      <w:r w:rsidRPr="00C00BF6">
        <w:rPr>
          <w:rFonts w:asciiTheme="majorBidi" w:hAnsiTheme="majorBidi" w:cs="Simplified Arabic" w:hint="cs"/>
          <w:color w:val="262626" w:themeColor="text1" w:themeTint="D9"/>
          <w:sz w:val="28"/>
          <w:szCs w:val="28"/>
          <w:rtl/>
          <w:lang w:bidi="ar-DZ"/>
        </w:rPr>
        <w:t>.</w:t>
      </w:r>
      <w:r>
        <w:rPr>
          <w:rFonts w:asciiTheme="majorBidi" w:hAnsiTheme="majorBidi" w:cs="Simplified Arabic" w:hint="cs"/>
          <w:color w:val="262626" w:themeColor="text1" w:themeTint="D9"/>
          <w:sz w:val="28"/>
          <w:szCs w:val="28"/>
          <w:rtl/>
          <w:lang w:bidi="ar-DZ"/>
        </w:rPr>
        <w:t>ع</w:t>
      </w:r>
      <w:proofErr w:type="spellEnd"/>
      <w:r>
        <w:rPr>
          <w:rFonts w:asciiTheme="majorBidi" w:hAnsiTheme="majorBidi" w:cs="Simplified Arabic" w:hint="cs"/>
          <w:color w:val="262626" w:themeColor="text1" w:themeTint="D9"/>
          <w:sz w:val="28"/>
          <w:szCs w:val="28"/>
          <w:rtl/>
          <w:lang w:bidi="ar-DZ"/>
        </w:rPr>
        <w:t xml:space="preserve"> </w:t>
      </w:r>
      <w:proofErr w:type="gramStart"/>
      <w:r>
        <w:rPr>
          <w:rFonts w:asciiTheme="majorBidi" w:hAnsiTheme="majorBidi" w:cs="Simplified Arabic" w:hint="cs"/>
          <w:color w:val="262626" w:themeColor="text1" w:themeTint="D9"/>
          <w:sz w:val="28"/>
          <w:szCs w:val="28"/>
          <w:rtl/>
          <w:lang w:bidi="ar-DZ"/>
        </w:rPr>
        <w:t>لا</w:t>
      </w:r>
      <w:proofErr w:type="gramEnd"/>
      <w:r>
        <w:rPr>
          <w:rFonts w:asciiTheme="majorBidi" w:hAnsiTheme="majorBidi" w:cs="Simplified Arabic" w:hint="cs"/>
          <w:color w:val="262626" w:themeColor="text1" w:themeTint="D9"/>
          <w:sz w:val="28"/>
          <w:szCs w:val="28"/>
          <w:rtl/>
          <w:lang w:bidi="ar-DZ"/>
        </w:rPr>
        <w:t xml:space="preserve"> يعتبر الخطأ مستوجبا للعقاب إلا إذا توافرت إحدى الصور المذكور في نص المادتين: الرعونة، عدم الاحتياط، عدم الانتباه، الإهمال، عدم مراعاة الأنظمة.</w:t>
      </w:r>
    </w:p>
    <w:p w:rsidR="00037418" w:rsidRDefault="00037418" w:rsidP="00037418">
      <w:pPr>
        <w:pStyle w:val="Paragraphedeliste"/>
        <w:numPr>
          <w:ilvl w:val="0"/>
          <w:numId w:val="2"/>
        </w:numPr>
        <w:tabs>
          <w:tab w:val="right" w:pos="516"/>
          <w:tab w:val="right" w:pos="658"/>
        </w:tabs>
        <w:bidi/>
        <w:jc w:val="both"/>
        <w:rPr>
          <w:rFonts w:asciiTheme="majorBidi" w:hAnsiTheme="majorBidi" w:cs="Simplified Arabic"/>
          <w:color w:val="262626" w:themeColor="text1" w:themeTint="D9"/>
          <w:sz w:val="28"/>
          <w:szCs w:val="28"/>
          <w:lang w:bidi="ar-DZ"/>
        </w:rPr>
      </w:pPr>
      <w:r w:rsidRPr="007C48DC">
        <w:rPr>
          <w:rFonts w:asciiTheme="majorBidi" w:hAnsiTheme="majorBidi" w:cs="Simplified Arabic" w:hint="cs"/>
          <w:bCs/>
          <w:color w:val="262626" w:themeColor="text1" w:themeTint="D9"/>
          <w:sz w:val="28"/>
          <w:szCs w:val="28"/>
          <w:rtl/>
          <w:lang w:bidi="ar-DZ"/>
        </w:rPr>
        <w:lastRenderedPageBreak/>
        <w:t>الرعونة</w:t>
      </w:r>
      <w:r>
        <w:rPr>
          <w:rFonts w:asciiTheme="majorBidi" w:hAnsiTheme="majorBidi" w:cs="Simplified Arabic" w:hint="cs"/>
          <w:color w:val="262626" w:themeColor="text1" w:themeTint="D9"/>
          <w:sz w:val="28"/>
          <w:szCs w:val="28"/>
          <w:rtl/>
          <w:lang w:bidi="ar-DZ"/>
        </w:rPr>
        <w:t xml:space="preserve">: تتمثل في سوء التقدير وانعدام المهارة كالمهندس الذي يرتكب خطأ في تصميم بناء </w:t>
      </w:r>
      <w:proofErr w:type="gramStart"/>
      <w:r>
        <w:rPr>
          <w:rFonts w:asciiTheme="majorBidi" w:hAnsiTheme="majorBidi" w:cs="Simplified Arabic" w:hint="cs"/>
          <w:color w:val="262626" w:themeColor="text1" w:themeTint="D9"/>
          <w:sz w:val="28"/>
          <w:szCs w:val="28"/>
          <w:rtl/>
          <w:lang w:bidi="ar-DZ"/>
        </w:rPr>
        <w:t>يتسبب</w:t>
      </w:r>
      <w:proofErr w:type="gramEnd"/>
      <w:r>
        <w:rPr>
          <w:rFonts w:asciiTheme="majorBidi" w:hAnsiTheme="majorBidi" w:cs="Simplified Arabic" w:hint="cs"/>
          <w:color w:val="262626" w:themeColor="text1" w:themeTint="D9"/>
          <w:sz w:val="28"/>
          <w:szCs w:val="28"/>
          <w:rtl/>
          <w:lang w:bidi="ar-DZ"/>
        </w:rPr>
        <w:t xml:space="preserve"> سقوطه في وفاة شخص.</w:t>
      </w:r>
    </w:p>
    <w:p w:rsidR="00037418" w:rsidRDefault="00037418" w:rsidP="00037418">
      <w:pPr>
        <w:pStyle w:val="Paragraphedeliste"/>
        <w:numPr>
          <w:ilvl w:val="0"/>
          <w:numId w:val="2"/>
        </w:numPr>
        <w:tabs>
          <w:tab w:val="right" w:pos="516"/>
          <w:tab w:val="right" w:pos="658"/>
        </w:tabs>
        <w:bidi/>
        <w:jc w:val="both"/>
        <w:rPr>
          <w:rFonts w:asciiTheme="majorBidi" w:hAnsiTheme="majorBidi" w:cs="Simplified Arabic"/>
          <w:color w:val="262626" w:themeColor="text1" w:themeTint="D9"/>
          <w:sz w:val="28"/>
          <w:szCs w:val="28"/>
          <w:lang w:bidi="ar-DZ"/>
        </w:rPr>
      </w:pPr>
      <w:proofErr w:type="gramStart"/>
      <w:r>
        <w:rPr>
          <w:rFonts w:asciiTheme="majorBidi" w:hAnsiTheme="majorBidi" w:cs="Simplified Arabic" w:hint="cs"/>
          <w:bCs/>
          <w:color w:val="262626" w:themeColor="text1" w:themeTint="D9"/>
          <w:sz w:val="28"/>
          <w:szCs w:val="28"/>
          <w:rtl/>
          <w:lang w:bidi="ar-DZ"/>
        </w:rPr>
        <w:t>عدم</w:t>
      </w:r>
      <w:proofErr w:type="gramEnd"/>
      <w:r>
        <w:rPr>
          <w:rFonts w:asciiTheme="majorBidi" w:hAnsiTheme="majorBidi" w:cs="Simplified Arabic" w:hint="cs"/>
          <w:bCs/>
          <w:color w:val="262626" w:themeColor="text1" w:themeTint="D9"/>
          <w:sz w:val="28"/>
          <w:szCs w:val="28"/>
          <w:rtl/>
          <w:lang w:bidi="ar-DZ"/>
        </w:rPr>
        <w:t xml:space="preserve"> الاحتياط</w:t>
      </w:r>
      <w:r w:rsidRPr="00942C1F">
        <w:rPr>
          <w:rFonts w:asciiTheme="majorBidi" w:hAnsiTheme="majorBidi" w:cs="Simplified Arabic" w:hint="cs"/>
          <w:color w:val="262626" w:themeColor="text1" w:themeTint="D9"/>
          <w:sz w:val="28"/>
          <w:szCs w:val="28"/>
          <w:rtl/>
          <w:lang w:bidi="ar-DZ"/>
        </w:rPr>
        <w:t>:</w:t>
      </w:r>
      <w:r>
        <w:rPr>
          <w:rFonts w:asciiTheme="majorBidi" w:hAnsiTheme="majorBidi" w:cs="Simplified Arabic" w:hint="cs"/>
          <w:color w:val="262626" w:themeColor="text1" w:themeTint="D9"/>
          <w:sz w:val="28"/>
          <w:szCs w:val="28"/>
          <w:rtl/>
          <w:lang w:bidi="ar-DZ"/>
        </w:rPr>
        <w:t xml:space="preserve"> يقصد به تجاهل قواعد الحيطة والتبصر كربّة بيت تقوم برمي جسم صلب من النافذة يصيب أحد الأشخاص.</w:t>
      </w:r>
    </w:p>
    <w:p w:rsidR="00037418" w:rsidRDefault="00037418" w:rsidP="00037418">
      <w:pPr>
        <w:pStyle w:val="Paragraphedeliste"/>
        <w:numPr>
          <w:ilvl w:val="0"/>
          <w:numId w:val="2"/>
        </w:numPr>
        <w:tabs>
          <w:tab w:val="right" w:pos="516"/>
          <w:tab w:val="right" w:pos="658"/>
        </w:tabs>
        <w:bidi/>
        <w:jc w:val="both"/>
        <w:rPr>
          <w:rFonts w:asciiTheme="majorBidi" w:hAnsiTheme="majorBidi" w:cs="Simplified Arabic"/>
          <w:color w:val="262626" w:themeColor="text1" w:themeTint="D9"/>
          <w:sz w:val="28"/>
          <w:szCs w:val="28"/>
          <w:lang w:bidi="ar-DZ"/>
        </w:rPr>
      </w:pPr>
      <w:proofErr w:type="gramStart"/>
      <w:r>
        <w:rPr>
          <w:rFonts w:asciiTheme="majorBidi" w:hAnsiTheme="majorBidi" w:cs="Simplified Arabic" w:hint="cs"/>
          <w:bCs/>
          <w:color w:val="262626" w:themeColor="text1" w:themeTint="D9"/>
          <w:sz w:val="28"/>
          <w:szCs w:val="28"/>
          <w:rtl/>
          <w:lang w:bidi="ar-DZ"/>
        </w:rPr>
        <w:t>الإهمال</w:t>
      </w:r>
      <w:proofErr w:type="gramEnd"/>
      <w:r>
        <w:rPr>
          <w:rFonts w:asciiTheme="majorBidi" w:hAnsiTheme="majorBidi" w:cs="Simplified Arabic" w:hint="cs"/>
          <w:bCs/>
          <w:color w:val="262626" w:themeColor="text1" w:themeTint="D9"/>
          <w:sz w:val="28"/>
          <w:szCs w:val="28"/>
          <w:rtl/>
          <w:lang w:bidi="ar-DZ"/>
        </w:rPr>
        <w:t>:</w:t>
      </w:r>
      <w:r>
        <w:rPr>
          <w:rFonts w:asciiTheme="majorBidi" w:hAnsiTheme="majorBidi" w:cs="Simplified Arabic" w:hint="cs"/>
          <w:b/>
          <w:color w:val="262626" w:themeColor="text1" w:themeTint="D9"/>
          <w:sz w:val="28"/>
          <w:szCs w:val="28"/>
          <w:rtl/>
          <w:lang w:bidi="ar-DZ"/>
        </w:rPr>
        <w:t xml:space="preserve"> يقصد به امتناع الفاعل عن اتخاذ احتياط يوجبه الحذر ولو اتخذه لما وقعت النتيجة كالشخص الذي يحفر حفرة دون أن يضع عليها غطاء أو علامة فيقع فيها شخص. </w:t>
      </w:r>
    </w:p>
    <w:p w:rsidR="00037418" w:rsidRPr="00A83DD4" w:rsidRDefault="00037418" w:rsidP="00037418">
      <w:pPr>
        <w:pStyle w:val="Paragraphedeliste"/>
        <w:numPr>
          <w:ilvl w:val="0"/>
          <w:numId w:val="2"/>
        </w:numPr>
        <w:tabs>
          <w:tab w:val="right" w:pos="516"/>
          <w:tab w:val="right" w:pos="658"/>
        </w:tabs>
        <w:bidi/>
        <w:jc w:val="both"/>
        <w:rPr>
          <w:rFonts w:asciiTheme="majorBidi" w:hAnsiTheme="majorBidi" w:cs="Simplified Arabic"/>
          <w:color w:val="262626" w:themeColor="text1" w:themeTint="D9"/>
          <w:sz w:val="28"/>
          <w:szCs w:val="28"/>
          <w:lang w:bidi="ar-DZ"/>
        </w:rPr>
      </w:pPr>
      <w:r>
        <w:rPr>
          <w:rFonts w:asciiTheme="majorBidi" w:hAnsiTheme="majorBidi" w:cs="Simplified Arabic" w:hint="cs"/>
          <w:bCs/>
          <w:color w:val="262626" w:themeColor="text1" w:themeTint="D9"/>
          <w:sz w:val="28"/>
          <w:szCs w:val="28"/>
          <w:rtl/>
          <w:lang w:bidi="ar-DZ"/>
        </w:rPr>
        <w:t>عدم الانتباه</w:t>
      </w:r>
      <w:r w:rsidRPr="00942C1F">
        <w:rPr>
          <w:rFonts w:asciiTheme="majorBidi" w:hAnsiTheme="majorBidi" w:cs="Simplified Arabic" w:hint="cs"/>
          <w:color w:val="262626" w:themeColor="text1" w:themeTint="D9"/>
          <w:sz w:val="28"/>
          <w:szCs w:val="28"/>
          <w:rtl/>
          <w:lang w:bidi="ar-DZ"/>
        </w:rPr>
        <w:t>:</w:t>
      </w:r>
      <w:r>
        <w:rPr>
          <w:rFonts w:asciiTheme="majorBidi" w:hAnsiTheme="majorBidi" w:cs="Simplified Arabic" w:hint="cs"/>
          <w:color w:val="262626" w:themeColor="text1" w:themeTint="D9"/>
          <w:sz w:val="28"/>
          <w:szCs w:val="28"/>
          <w:rtl/>
          <w:lang w:bidi="ar-DZ"/>
        </w:rPr>
        <w:t xml:space="preserve"> يقصد به الخفة أو عدم التركيز عند تنفيذ عمل ما، كمسؤول الأشخاص في ورشة بناء لا يعين شخصا لحراسة البناء عند وقف الأعمال.</w:t>
      </w:r>
      <w:r w:rsidRPr="00A83DD4">
        <w:rPr>
          <w:rFonts w:asciiTheme="majorBidi" w:hAnsiTheme="majorBidi" w:cs="Simplified Arabic" w:hint="cs"/>
          <w:bCs/>
          <w:color w:val="262626" w:themeColor="text1" w:themeTint="D9"/>
          <w:sz w:val="28"/>
          <w:szCs w:val="28"/>
          <w:rtl/>
          <w:lang w:bidi="ar-DZ"/>
        </w:rPr>
        <w:t xml:space="preserve"> </w:t>
      </w:r>
    </w:p>
    <w:p w:rsidR="00037418" w:rsidRDefault="00037418" w:rsidP="00037418">
      <w:pPr>
        <w:pStyle w:val="Paragraphedeliste"/>
        <w:numPr>
          <w:ilvl w:val="0"/>
          <w:numId w:val="2"/>
        </w:numPr>
        <w:tabs>
          <w:tab w:val="right" w:pos="516"/>
          <w:tab w:val="right" w:pos="658"/>
        </w:tabs>
        <w:bidi/>
        <w:jc w:val="both"/>
        <w:rPr>
          <w:rFonts w:asciiTheme="majorBidi" w:hAnsiTheme="majorBidi" w:cs="Simplified Arabic"/>
          <w:color w:val="262626" w:themeColor="text1" w:themeTint="D9"/>
          <w:sz w:val="28"/>
          <w:szCs w:val="28"/>
          <w:lang w:bidi="ar-DZ"/>
        </w:rPr>
      </w:pPr>
      <w:r w:rsidRPr="00AD7F6B">
        <w:rPr>
          <w:rFonts w:asciiTheme="majorBidi" w:hAnsiTheme="majorBidi" w:cs="Simplified Arabic" w:hint="cs"/>
          <w:b/>
          <w:bCs/>
          <w:color w:val="262626" w:themeColor="text1" w:themeTint="D9"/>
          <w:sz w:val="28"/>
          <w:szCs w:val="28"/>
          <w:rtl/>
          <w:lang w:bidi="ar-DZ"/>
        </w:rPr>
        <w:t>عدم مراع</w:t>
      </w:r>
      <w:r>
        <w:rPr>
          <w:rFonts w:asciiTheme="majorBidi" w:hAnsiTheme="majorBidi" w:cs="Simplified Arabic" w:hint="cs"/>
          <w:b/>
          <w:bCs/>
          <w:color w:val="262626" w:themeColor="text1" w:themeTint="D9"/>
          <w:sz w:val="28"/>
          <w:szCs w:val="28"/>
          <w:rtl/>
          <w:lang w:bidi="ar-DZ"/>
        </w:rPr>
        <w:t>ـ</w:t>
      </w:r>
      <w:r w:rsidRPr="00AD7F6B">
        <w:rPr>
          <w:rFonts w:asciiTheme="majorBidi" w:hAnsiTheme="majorBidi" w:cs="Simplified Arabic" w:hint="cs"/>
          <w:b/>
          <w:bCs/>
          <w:color w:val="262626" w:themeColor="text1" w:themeTint="D9"/>
          <w:sz w:val="28"/>
          <w:szCs w:val="28"/>
          <w:rtl/>
          <w:lang w:bidi="ar-DZ"/>
        </w:rPr>
        <w:t>اة الأنظمة</w:t>
      </w:r>
      <w:r w:rsidRPr="00942C1F">
        <w:rPr>
          <w:rFonts w:asciiTheme="majorBidi" w:hAnsiTheme="majorBidi" w:cs="Simplified Arabic" w:hint="cs"/>
          <w:color w:val="262626" w:themeColor="text1" w:themeTint="D9"/>
          <w:sz w:val="28"/>
          <w:szCs w:val="28"/>
          <w:rtl/>
          <w:lang w:bidi="ar-DZ"/>
        </w:rPr>
        <w:t>:</w:t>
      </w:r>
      <w:r>
        <w:rPr>
          <w:rFonts w:asciiTheme="majorBidi" w:hAnsiTheme="majorBidi" w:cs="Simplified Arabic" w:hint="cs"/>
          <w:color w:val="262626" w:themeColor="text1" w:themeTint="D9"/>
          <w:sz w:val="28"/>
          <w:szCs w:val="28"/>
          <w:rtl/>
          <w:lang w:bidi="ar-DZ"/>
        </w:rPr>
        <w:t xml:space="preserve"> يقصد بالأنظمة بوجه عام كل القوانين والمراسيم والقرارات واللوائح والتعليمات الصادرة عن السلطات المختصة بهدف التنظيم كما هو الحال بالنسبة لقانون المرور السائق الذي يخرق حكما من أحكام هذا القانون (عدم احترام الإشارات، سرعة فائقة</w:t>
      </w:r>
      <w:proofErr w:type="gramStart"/>
      <w:r>
        <w:rPr>
          <w:rFonts w:asciiTheme="majorBidi" w:hAnsiTheme="majorBidi" w:cs="Simplified Arabic" w:hint="cs"/>
          <w:color w:val="262626" w:themeColor="text1" w:themeTint="D9"/>
          <w:sz w:val="28"/>
          <w:szCs w:val="28"/>
          <w:rtl/>
          <w:lang w:bidi="ar-DZ"/>
        </w:rPr>
        <w:t>،.</w:t>
      </w:r>
      <w:proofErr w:type="gramEnd"/>
      <w:r>
        <w:rPr>
          <w:rFonts w:asciiTheme="majorBidi" w:hAnsiTheme="majorBidi" w:cs="Simplified Arabic" w:hint="cs"/>
          <w:color w:val="262626" w:themeColor="text1" w:themeTint="D9"/>
          <w:sz w:val="28"/>
          <w:szCs w:val="28"/>
          <w:rtl/>
          <w:lang w:bidi="ar-DZ"/>
        </w:rPr>
        <w:t xml:space="preserve">..) وفي المجال الصحي الخطأ في اختيار الدواء غير المناسب للمريض. </w:t>
      </w:r>
    </w:p>
    <w:p w:rsidR="00037418" w:rsidRDefault="00037418" w:rsidP="00037418">
      <w:pPr>
        <w:tabs>
          <w:tab w:val="right" w:pos="516"/>
          <w:tab w:val="right" w:pos="658"/>
        </w:tabs>
        <w:bidi/>
        <w:jc w:val="both"/>
        <w:rPr>
          <w:rFonts w:asciiTheme="majorBidi" w:hAnsiTheme="majorBidi" w:cs="Simplified Arabic"/>
          <w:color w:val="262626" w:themeColor="text1" w:themeTint="D9"/>
          <w:sz w:val="28"/>
          <w:szCs w:val="28"/>
          <w:rtl/>
          <w:lang w:bidi="ar-DZ"/>
        </w:rPr>
      </w:pPr>
      <w:r w:rsidRPr="00D1103B">
        <w:rPr>
          <w:rFonts w:asciiTheme="majorBidi" w:hAnsiTheme="majorBidi" w:cs="Simplified Arabic" w:hint="cs"/>
          <w:b/>
          <w:bCs/>
          <w:color w:val="262626" w:themeColor="text1" w:themeTint="D9"/>
          <w:sz w:val="28"/>
          <w:szCs w:val="28"/>
          <w:rtl/>
          <w:lang w:bidi="ar-DZ"/>
        </w:rPr>
        <w:t>ب-العقوبـــــــــــــــــــــات</w:t>
      </w:r>
    </w:p>
    <w:p w:rsidR="00037418" w:rsidRDefault="00037418" w:rsidP="00037418">
      <w:pPr>
        <w:pStyle w:val="Paragraphedeliste"/>
        <w:numPr>
          <w:ilvl w:val="0"/>
          <w:numId w:val="1"/>
        </w:numPr>
        <w:tabs>
          <w:tab w:val="right" w:pos="516"/>
          <w:tab w:val="right" w:pos="658"/>
        </w:tabs>
        <w:bidi/>
        <w:jc w:val="both"/>
        <w:rPr>
          <w:rFonts w:asciiTheme="majorBidi" w:hAnsiTheme="majorBidi" w:cs="Simplified Arabic"/>
          <w:color w:val="262626" w:themeColor="text1" w:themeTint="D9"/>
          <w:sz w:val="28"/>
          <w:szCs w:val="28"/>
          <w:lang w:bidi="ar-DZ"/>
        </w:rPr>
      </w:pPr>
      <w:r w:rsidRPr="00D03287">
        <w:rPr>
          <w:rFonts w:asciiTheme="majorBidi" w:hAnsiTheme="majorBidi" w:cs="Simplified Arabic" w:hint="cs"/>
          <w:b/>
          <w:bCs/>
          <w:color w:val="262626" w:themeColor="text1" w:themeTint="D9"/>
          <w:sz w:val="28"/>
          <w:szCs w:val="28"/>
          <w:rtl/>
          <w:lang w:bidi="ar-DZ"/>
        </w:rPr>
        <w:t>العقوبات الأصلية</w:t>
      </w:r>
      <w:r>
        <w:rPr>
          <w:rFonts w:asciiTheme="majorBidi" w:hAnsiTheme="majorBidi" w:cs="Simplified Arabic" w:hint="cs"/>
          <w:color w:val="262626" w:themeColor="text1" w:themeTint="D9"/>
          <w:sz w:val="28"/>
          <w:szCs w:val="28"/>
          <w:rtl/>
          <w:lang w:bidi="ar-DZ"/>
        </w:rPr>
        <w:t xml:space="preserve">: تختلف </w:t>
      </w:r>
      <w:proofErr w:type="gramStart"/>
      <w:r>
        <w:rPr>
          <w:rFonts w:asciiTheme="majorBidi" w:hAnsiTheme="majorBidi" w:cs="Simplified Arabic" w:hint="cs"/>
          <w:color w:val="262626" w:themeColor="text1" w:themeTint="D9"/>
          <w:sz w:val="28"/>
          <w:szCs w:val="28"/>
          <w:rtl/>
          <w:lang w:bidi="ar-DZ"/>
        </w:rPr>
        <w:t>حسب</w:t>
      </w:r>
      <w:proofErr w:type="gramEnd"/>
      <w:r>
        <w:rPr>
          <w:rFonts w:asciiTheme="majorBidi" w:hAnsiTheme="majorBidi" w:cs="Simplified Arabic" w:hint="cs"/>
          <w:color w:val="262626" w:themeColor="text1" w:themeTint="D9"/>
          <w:sz w:val="28"/>
          <w:szCs w:val="28"/>
          <w:rtl/>
          <w:lang w:bidi="ar-DZ"/>
        </w:rPr>
        <w:t xml:space="preserve"> النتيجة المترتبة عن الفعل الإجرامي:</w:t>
      </w:r>
    </w:p>
    <w:p w:rsidR="00037418" w:rsidRDefault="00037418" w:rsidP="00037418">
      <w:pPr>
        <w:pStyle w:val="Paragraphedeliste"/>
        <w:numPr>
          <w:ilvl w:val="0"/>
          <w:numId w:val="3"/>
        </w:numPr>
        <w:tabs>
          <w:tab w:val="right" w:pos="516"/>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إذا نتج عن الفعل إصابة أو جرح أو مرض أدى إلى العجز الكلي عن العمل لمدة لا تتجاوز ثلاثة أشهر: يشكل الفعل مخالفة عقوبتها من 10 أيام على الأقل إلى شهرين على الأكثر وبغرامة من 8.000 إلى 16.000 دج.            (المادة 442/2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 xml:space="preserve">). قد أضافت المادة 442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 xml:space="preserve"> </w:t>
      </w:r>
      <w:proofErr w:type="gramStart"/>
      <w:r>
        <w:rPr>
          <w:rFonts w:asciiTheme="majorBidi" w:hAnsiTheme="majorBidi" w:cs="Simplified Arabic" w:hint="cs"/>
          <w:color w:val="262626" w:themeColor="text1" w:themeTint="D9"/>
          <w:sz w:val="28"/>
          <w:szCs w:val="28"/>
          <w:rtl/>
          <w:lang w:bidi="ar-DZ"/>
        </w:rPr>
        <w:t>أنه</w:t>
      </w:r>
      <w:proofErr w:type="gramEnd"/>
      <w:r>
        <w:rPr>
          <w:rFonts w:asciiTheme="majorBidi" w:hAnsiTheme="majorBidi" w:cs="Simplified Arabic" w:hint="cs"/>
          <w:color w:val="262626" w:themeColor="text1" w:themeTint="D9"/>
          <w:sz w:val="28"/>
          <w:szCs w:val="28"/>
          <w:rtl/>
          <w:lang w:bidi="ar-DZ"/>
        </w:rPr>
        <w:t xml:space="preserve"> لا يمكن مباشرة الدعوى العمومية في هذه الحالة إلا بناء على شكوى الضحية، كما يضع صفح الضحية حدا للمتابعة الجزائية.</w:t>
      </w:r>
    </w:p>
    <w:p w:rsidR="00037418" w:rsidRDefault="00037418" w:rsidP="00037418">
      <w:pPr>
        <w:pStyle w:val="Paragraphedeliste"/>
        <w:numPr>
          <w:ilvl w:val="0"/>
          <w:numId w:val="3"/>
        </w:numPr>
        <w:tabs>
          <w:tab w:val="right" w:pos="516"/>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إذا نتج عن الفعل إصابة أو جرح أو مرض أدى إلى العجز الكلي عن العمل لمدة تتجاوز ثلاثة أشهر: يعتبر الفعل جنحة عقوبتها الحبس من شهرين إلى </w:t>
      </w:r>
      <w:r>
        <w:rPr>
          <w:rFonts w:asciiTheme="majorBidi" w:hAnsiTheme="majorBidi" w:cs="Simplified Arabic" w:hint="cs"/>
          <w:color w:val="262626" w:themeColor="text1" w:themeTint="D9"/>
          <w:sz w:val="28"/>
          <w:szCs w:val="28"/>
          <w:rtl/>
          <w:lang w:bidi="ar-DZ"/>
        </w:rPr>
        <w:lastRenderedPageBreak/>
        <w:t xml:space="preserve">سنتين وغرامة من 20.000 إلى 100.000 </w:t>
      </w:r>
      <w:proofErr w:type="gramStart"/>
      <w:r>
        <w:rPr>
          <w:rFonts w:asciiTheme="majorBidi" w:hAnsiTheme="majorBidi" w:cs="Simplified Arabic" w:hint="cs"/>
          <w:color w:val="262626" w:themeColor="text1" w:themeTint="D9"/>
          <w:sz w:val="28"/>
          <w:szCs w:val="28"/>
          <w:rtl/>
          <w:lang w:bidi="ar-DZ"/>
        </w:rPr>
        <w:t>دينار</w:t>
      </w:r>
      <w:proofErr w:type="gramEnd"/>
      <w:r>
        <w:rPr>
          <w:rFonts w:asciiTheme="majorBidi" w:hAnsiTheme="majorBidi" w:cs="Simplified Arabic" w:hint="cs"/>
          <w:color w:val="262626" w:themeColor="text1" w:themeTint="D9"/>
          <w:sz w:val="28"/>
          <w:szCs w:val="28"/>
          <w:rtl/>
          <w:lang w:bidi="ar-DZ"/>
        </w:rPr>
        <w:t xml:space="preserve"> أو بإحدى هاتين العقوبتين (المادة 289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037418" w:rsidRDefault="00037418" w:rsidP="00037418">
      <w:pPr>
        <w:pStyle w:val="Paragraphedeliste"/>
        <w:numPr>
          <w:ilvl w:val="0"/>
          <w:numId w:val="3"/>
        </w:numPr>
        <w:tabs>
          <w:tab w:val="right" w:pos="516"/>
        </w:tabs>
        <w:bidi/>
        <w:ind w:left="1367"/>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 xml:space="preserve">إذا تسبب الجاني في الوفاة يعاقب بالحبس من 6 </w:t>
      </w:r>
      <w:proofErr w:type="gramStart"/>
      <w:r>
        <w:rPr>
          <w:rFonts w:asciiTheme="majorBidi" w:hAnsiTheme="majorBidi" w:cs="Simplified Arabic" w:hint="cs"/>
          <w:color w:val="262626" w:themeColor="text1" w:themeTint="D9"/>
          <w:sz w:val="28"/>
          <w:szCs w:val="28"/>
          <w:rtl/>
          <w:lang w:bidi="ar-DZ"/>
        </w:rPr>
        <w:t>أشهر  إلى</w:t>
      </w:r>
      <w:proofErr w:type="gramEnd"/>
      <w:r>
        <w:rPr>
          <w:rFonts w:asciiTheme="majorBidi" w:hAnsiTheme="majorBidi" w:cs="Simplified Arabic" w:hint="cs"/>
          <w:color w:val="262626" w:themeColor="text1" w:themeTint="D9"/>
          <w:sz w:val="28"/>
          <w:szCs w:val="28"/>
          <w:rtl/>
          <w:lang w:bidi="ar-DZ"/>
        </w:rPr>
        <w:t xml:space="preserve"> 3 سنوات وبغرامة من 20.000 إلــى 100.000 </w:t>
      </w:r>
      <w:proofErr w:type="gramStart"/>
      <w:r>
        <w:rPr>
          <w:rFonts w:asciiTheme="majorBidi" w:hAnsiTheme="majorBidi" w:cs="Simplified Arabic" w:hint="cs"/>
          <w:color w:val="262626" w:themeColor="text1" w:themeTint="D9"/>
          <w:sz w:val="28"/>
          <w:szCs w:val="28"/>
          <w:rtl/>
          <w:lang w:bidi="ar-DZ"/>
        </w:rPr>
        <w:t xml:space="preserve">دينار </w:t>
      </w:r>
      <w:proofErr w:type="gramEnd"/>
      <w:r>
        <w:rPr>
          <w:rFonts w:asciiTheme="majorBidi" w:hAnsiTheme="majorBidi" w:cs="Simplified Arabic" w:hint="cs"/>
          <w:color w:val="262626" w:themeColor="text1" w:themeTint="D9"/>
          <w:sz w:val="28"/>
          <w:szCs w:val="28"/>
          <w:rtl/>
          <w:lang w:bidi="ar-DZ"/>
        </w:rPr>
        <w:t xml:space="preserve">(المادة 288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037418" w:rsidRPr="0031194B" w:rsidRDefault="00037418" w:rsidP="00037418">
      <w:pPr>
        <w:tabs>
          <w:tab w:val="right" w:pos="516"/>
        </w:tabs>
        <w:bidi/>
        <w:ind w:left="734"/>
        <w:jc w:val="both"/>
        <w:rPr>
          <w:rFonts w:asciiTheme="majorBidi" w:hAnsiTheme="majorBidi" w:cs="Simplified Arabic"/>
          <w:color w:val="262626" w:themeColor="text1" w:themeTint="D9"/>
          <w:sz w:val="28"/>
          <w:szCs w:val="28"/>
          <w:rtl/>
          <w:lang w:bidi="ar-DZ"/>
        </w:rPr>
      </w:pPr>
      <w:r w:rsidRPr="0031194B">
        <w:rPr>
          <w:rFonts w:asciiTheme="majorBidi" w:hAnsiTheme="majorBidi" w:cs="Simplified Arabic" w:hint="cs"/>
          <w:color w:val="262626" w:themeColor="text1" w:themeTint="D9"/>
          <w:sz w:val="28"/>
          <w:szCs w:val="28"/>
          <w:rtl/>
          <w:lang w:bidi="ar-DZ"/>
        </w:rPr>
        <w:t xml:space="preserve">وقد نصت </w:t>
      </w:r>
      <w:proofErr w:type="gramStart"/>
      <w:r w:rsidRPr="0031194B">
        <w:rPr>
          <w:rFonts w:asciiTheme="majorBidi" w:hAnsiTheme="majorBidi" w:cs="Simplified Arabic" w:hint="cs"/>
          <w:color w:val="262626" w:themeColor="text1" w:themeTint="D9"/>
          <w:sz w:val="28"/>
          <w:szCs w:val="28"/>
          <w:rtl/>
          <w:lang w:bidi="ar-DZ"/>
        </w:rPr>
        <w:t>المادة</w:t>
      </w:r>
      <w:proofErr w:type="gramEnd"/>
      <w:r w:rsidRPr="0031194B">
        <w:rPr>
          <w:rFonts w:asciiTheme="majorBidi" w:hAnsiTheme="majorBidi" w:cs="Simplified Arabic" w:hint="cs"/>
          <w:color w:val="262626" w:themeColor="text1" w:themeTint="D9"/>
          <w:sz w:val="28"/>
          <w:szCs w:val="28"/>
          <w:rtl/>
          <w:lang w:bidi="ar-DZ"/>
        </w:rPr>
        <w:t xml:space="preserve"> 290 </w:t>
      </w:r>
      <w:proofErr w:type="spellStart"/>
      <w:r w:rsidRPr="0031194B">
        <w:rPr>
          <w:rFonts w:asciiTheme="majorBidi" w:hAnsiTheme="majorBidi" w:cs="Simplified Arabic" w:hint="cs"/>
          <w:color w:val="262626" w:themeColor="text1" w:themeTint="D9"/>
          <w:sz w:val="28"/>
          <w:szCs w:val="28"/>
          <w:rtl/>
          <w:lang w:bidi="ar-DZ"/>
        </w:rPr>
        <w:t>ق.ع</w:t>
      </w:r>
      <w:proofErr w:type="spellEnd"/>
      <w:r w:rsidRPr="0031194B">
        <w:rPr>
          <w:rFonts w:asciiTheme="majorBidi" w:hAnsiTheme="majorBidi" w:cs="Simplified Arabic" w:hint="cs"/>
          <w:color w:val="262626" w:themeColor="text1" w:themeTint="D9"/>
          <w:sz w:val="28"/>
          <w:szCs w:val="28"/>
          <w:rtl/>
          <w:lang w:bidi="ar-DZ"/>
        </w:rPr>
        <w:t xml:space="preserve"> </w:t>
      </w:r>
      <w:r>
        <w:rPr>
          <w:rFonts w:asciiTheme="majorBidi" w:hAnsiTheme="majorBidi" w:cs="Simplified Arabic" w:hint="cs"/>
          <w:color w:val="262626" w:themeColor="text1" w:themeTint="D9"/>
          <w:sz w:val="28"/>
          <w:szCs w:val="28"/>
          <w:rtl/>
          <w:lang w:bidi="ar-DZ"/>
        </w:rPr>
        <w:t xml:space="preserve">على </w:t>
      </w:r>
      <w:r w:rsidRPr="0031194B">
        <w:rPr>
          <w:rFonts w:asciiTheme="majorBidi" w:hAnsiTheme="majorBidi" w:cs="Simplified Arabic" w:hint="cs"/>
          <w:color w:val="262626" w:themeColor="text1" w:themeTint="D9"/>
          <w:sz w:val="28"/>
          <w:szCs w:val="28"/>
          <w:rtl/>
          <w:lang w:bidi="ar-DZ"/>
        </w:rPr>
        <w:t>الظروف المشددة</w:t>
      </w:r>
      <w:r>
        <w:rPr>
          <w:rFonts w:asciiTheme="majorBidi" w:hAnsiTheme="majorBidi" w:cs="Simplified Arabic" w:hint="cs"/>
          <w:color w:val="262626" w:themeColor="text1" w:themeTint="D9"/>
          <w:sz w:val="28"/>
          <w:szCs w:val="28"/>
          <w:rtl/>
          <w:lang w:bidi="ar-DZ"/>
        </w:rPr>
        <w:t xml:space="preserve">، حيث تضاعف العقوبات المنصوص </w:t>
      </w:r>
      <w:proofErr w:type="gramStart"/>
      <w:r>
        <w:rPr>
          <w:rFonts w:asciiTheme="majorBidi" w:hAnsiTheme="majorBidi" w:cs="Simplified Arabic" w:hint="cs"/>
          <w:color w:val="262626" w:themeColor="text1" w:themeTint="D9"/>
          <w:sz w:val="28"/>
          <w:szCs w:val="28"/>
          <w:rtl/>
          <w:lang w:bidi="ar-DZ"/>
        </w:rPr>
        <w:t>عليها</w:t>
      </w:r>
      <w:proofErr w:type="gramEnd"/>
      <w:r>
        <w:rPr>
          <w:rFonts w:asciiTheme="majorBidi" w:hAnsiTheme="majorBidi" w:cs="Simplified Arabic" w:hint="cs"/>
          <w:color w:val="262626" w:themeColor="text1" w:themeTint="D9"/>
          <w:sz w:val="28"/>
          <w:szCs w:val="28"/>
          <w:rtl/>
          <w:lang w:bidi="ar-DZ"/>
        </w:rPr>
        <w:t xml:space="preserve"> في المادتين 288 و 289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 xml:space="preserve"> إذا كان مرتكب الجنحة في حالة سكر أو حاول التهرب من المسؤولية الجنائية أو المدنية التي يمكن أن تقع عليه، وذلك بالفرار أو بتغيير حالة الأماكن أو بأية طريقة أخرى.</w:t>
      </w:r>
      <w:r w:rsidRPr="0031194B">
        <w:rPr>
          <w:rFonts w:asciiTheme="majorBidi" w:hAnsiTheme="majorBidi" w:cs="Simplified Arabic" w:hint="cs"/>
          <w:color w:val="262626" w:themeColor="text1" w:themeTint="D9"/>
          <w:sz w:val="28"/>
          <w:szCs w:val="28"/>
          <w:rtl/>
          <w:lang w:bidi="ar-DZ"/>
        </w:rPr>
        <w:t xml:space="preserve"> </w:t>
      </w:r>
    </w:p>
    <w:p w:rsidR="00037418" w:rsidRDefault="00037418" w:rsidP="00037418">
      <w:pPr>
        <w:pStyle w:val="Paragraphedeliste"/>
        <w:numPr>
          <w:ilvl w:val="0"/>
          <w:numId w:val="1"/>
        </w:numPr>
        <w:tabs>
          <w:tab w:val="right" w:pos="516"/>
        </w:tabs>
        <w:bidi/>
        <w:jc w:val="both"/>
        <w:rPr>
          <w:rFonts w:asciiTheme="majorBidi" w:hAnsiTheme="majorBidi" w:cs="Simplified Arabic"/>
          <w:color w:val="262626" w:themeColor="text1" w:themeTint="D9"/>
          <w:sz w:val="28"/>
          <w:szCs w:val="28"/>
          <w:lang w:bidi="ar-DZ"/>
        </w:rPr>
      </w:pPr>
      <w:r w:rsidRPr="003E6D8D">
        <w:rPr>
          <w:rFonts w:asciiTheme="majorBidi" w:hAnsiTheme="majorBidi" w:cs="Simplified Arabic" w:hint="cs"/>
          <w:b/>
          <w:bCs/>
          <w:color w:val="262626" w:themeColor="text1" w:themeTint="D9"/>
          <w:sz w:val="28"/>
          <w:szCs w:val="28"/>
          <w:rtl/>
          <w:lang w:bidi="ar-DZ"/>
        </w:rPr>
        <w:t>العقوبات التكميلية</w:t>
      </w:r>
      <w:r>
        <w:rPr>
          <w:rFonts w:asciiTheme="majorBidi" w:hAnsiTheme="majorBidi" w:cs="Simplified Arabic" w:hint="cs"/>
          <w:color w:val="262626" w:themeColor="text1" w:themeTint="D9"/>
          <w:sz w:val="28"/>
          <w:szCs w:val="28"/>
          <w:rtl/>
          <w:lang w:bidi="ar-DZ"/>
        </w:rPr>
        <w:t>: تطرقنا إليها سابقا في إطار قانون العقوبات، أما القانون المتعلق بتنظيم المرور فنص على عقوبتين تكميليتين، في حالة القتل الخطأ أو الجرح الخطأ المرتكب إثر حادث المرور وهو تعليق رخصة السياقة، إلغاء رخصة السياقة</w:t>
      </w:r>
      <w:r w:rsidRPr="002000B8">
        <w:rPr>
          <w:rFonts w:asciiTheme="majorBidi" w:hAnsiTheme="majorBidi" w:cs="Simplified Arabic" w:hint="cs"/>
          <w:color w:val="262626" w:themeColor="text1" w:themeTint="D9"/>
          <w:sz w:val="28"/>
          <w:szCs w:val="28"/>
          <w:rtl/>
          <w:lang w:bidi="ar-DZ"/>
        </w:rPr>
        <w:t xml:space="preserve">  </w:t>
      </w:r>
      <w:r>
        <w:rPr>
          <w:rFonts w:asciiTheme="majorBidi" w:hAnsiTheme="majorBidi" w:cs="Simplified Arabic" w:hint="cs"/>
          <w:color w:val="262626" w:themeColor="text1" w:themeTint="D9"/>
          <w:sz w:val="28"/>
          <w:szCs w:val="28"/>
          <w:rtl/>
          <w:lang w:bidi="ar-DZ"/>
        </w:rPr>
        <w:t xml:space="preserve">(المادتان 110، 111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r w:rsidRPr="002000B8">
        <w:rPr>
          <w:rFonts w:asciiTheme="majorBidi" w:hAnsiTheme="majorBidi" w:cs="Simplified Arabic" w:hint="cs"/>
          <w:color w:val="262626" w:themeColor="text1" w:themeTint="D9"/>
          <w:sz w:val="28"/>
          <w:szCs w:val="28"/>
          <w:rtl/>
          <w:lang w:bidi="ar-DZ"/>
        </w:rPr>
        <w:t xml:space="preserve"> </w:t>
      </w:r>
      <w:r>
        <w:rPr>
          <w:rFonts w:asciiTheme="majorBidi" w:hAnsiTheme="majorBidi" w:cs="Simplified Arabic" w:hint="cs"/>
          <w:color w:val="262626" w:themeColor="text1" w:themeTint="D9"/>
          <w:sz w:val="28"/>
          <w:szCs w:val="28"/>
          <w:rtl/>
          <w:lang w:bidi="ar-DZ"/>
        </w:rPr>
        <w:t>.</w:t>
      </w:r>
    </w:p>
    <w:p w:rsidR="00037418" w:rsidRDefault="00037418" w:rsidP="00037418">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p>
    <w:p w:rsidR="00037418" w:rsidRDefault="00037418" w:rsidP="00037418">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p>
    <w:p w:rsidR="00037418" w:rsidRDefault="00037418" w:rsidP="00037418">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p>
    <w:p w:rsidR="00037418" w:rsidRDefault="00037418" w:rsidP="00037418">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p>
    <w:p w:rsidR="00037418" w:rsidRDefault="00037418" w:rsidP="00037418">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p>
    <w:p w:rsidR="00037418" w:rsidRDefault="00037418" w:rsidP="00037418">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p>
    <w:p w:rsidR="00037418" w:rsidRDefault="00037418">
      <w:pPr>
        <w:rPr>
          <w:lang w:bidi="ar-DZ"/>
        </w:rPr>
      </w:pPr>
    </w:p>
    <w:sectPr w:rsidR="00037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8.7pt" o:bullet="t">
        <v:imagedata r:id="rId1" o:title="BD14656_"/>
      </v:shape>
    </w:pict>
  </w:numPicBullet>
  <w:abstractNum w:abstractNumId="0">
    <w:nsid w:val="0ECA1766"/>
    <w:multiLevelType w:val="hybridMultilevel"/>
    <w:tmpl w:val="94E0E558"/>
    <w:lvl w:ilvl="0" w:tplc="FEF6EB58">
      <w:start w:val="1"/>
      <w:numFmt w:val="bullet"/>
      <w:lvlText w:val=""/>
      <w:lvlPicBulletId w:val="0"/>
      <w:lvlJc w:val="left"/>
      <w:pPr>
        <w:ind w:left="1378" w:hanging="360"/>
      </w:pPr>
      <w:rPr>
        <w:rFonts w:ascii="Wingdings" w:hAnsi="Wingdings" w:hint="default"/>
        <w:color w:val="000000" w:themeColor="text1"/>
      </w:rPr>
    </w:lvl>
    <w:lvl w:ilvl="1" w:tplc="040C0003" w:tentative="1">
      <w:start w:val="1"/>
      <w:numFmt w:val="bullet"/>
      <w:lvlText w:val="o"/>
      <w:lvlJc w:val="left"/>
      <w:pPr>
        <w:ind w:left="2098" w:hanging="360"/>
      </w:pPr>
      <w:rPr>
        <w:rFonts w:ascii="Courier New" w:hAnsi="Courier New" w:cs="Courier New" w:hint="default"/>
      </w:rPr>
    </w:lvl>
    <w:lvl w:ilvl="2" w:tplc="040C0005" w:tentative="1">
      <w:start w:val="1"/>
      <w:numFmt w:val="bullet"/>
      <w:lvlText w:val=""/>
      <w:lvlJc w:val="left"/>
      <w:pPr>
        <w:ind w:left="2818" w:hanging="360"/>
      </w:pPr>
      <w:rPr>
        <w:rFonts w:ascii="Wingdings" w:hAnsi="Wingdings" w:hint="default"/>
      </w:rPr>
    </w:lvl>
    <w:lvl w:ilvl="3" w:tplc="040C0001" w:tentative="1">
      <w:start w:val="1"/>
      <w:numFmt w:val="bullet"/>
      <w:lvlText w:val=""/>
      <w:lvlJc w:val="left"/>
      <w:pPr>
        <w:ind w:left="3538" w:hanging="360"/>
      </w:pPr>
      <w:rPr>
        <w:rFonts w:ascii="Symbol" w:hAnsi="Symbol" w:hint="default"/>
      </w:rPr>
    </w:lvl>
    <w:lvl w:ilvl="4" w:tplc="040C0003" w:tentative="1">
      <w:start w:val="1"/>
      <w:numFmt w:val="bullet"/>
      <w:lvlText w:val="o"/>
      <w:lvlJc w:val="left"/>
      <w:pPr>
        <w:ind w:left="4258" w:hanging="360"/>
      </w:pPr>
      <w:rPr>
        <w:rFonts w:ascii="Courier New" w:hAnsi="Courier New" w:cs="Courier New" w:hint="default"/>
      </w:rPr>
    </w:lvl>
    <w:lvl w:ilvl="5" w:tplc="040C0005" w:tentative="1">
      <w:start w:val="1"/>
      <w:numFmt w:val="bullet"/>
      <w:lvlText w:val=""/>
      <w:lvlJc w:val="left"/>
      <w:pPr>
        <w:ind w:left="4978" w:hanging="360"/>
      </w:pPr>
      <w:rPr>
        <w:rFonts w:ascii="Wingdings" w:hAnsi="Wingdings" w:hint="default"/>
      </w:rPr>
    </w:lvl>
    <w:lvl w:ilvl="6" w:tplc="040C0001" w:tentative="1">
      <w:start w:val="1"/>
      <w:numFmt w:val="bullet"/>
      <w:lvlText w:val=""/>
      <w:lvlJc w:val="left"/>
      <w:pPr>
        <w:ind w:left="5698" w:hanging="360"/>
      </w:pPr>
      <w:rPr>
        <w:rFonts w:ascii="Symbol" w:hAnsi="Symbol" w:hint="default"/>
      </w:rPr>
    </w:lvl>
    <w:lvl w:ilvl="7" w:tplc="040C0003" w:tentative="1">
      <w:start w:val="1"/>
      <w:numFmt w:val="bullet"/>
      <w:lvlText w:val="o"/>
      <w:lvlJc w:val="left"/>
      <w:pPr>
        <w:ind w:left="6418" w:hanging="360"/>
      </w:pPr>
      <w:rPr>
        <w:rFonts w:ascii="Courier New" w:hAnsi="Courier New" w:cs="Courier New" w:hint="default"/>
      </w:rPr>
    </w:lvl>
    <w:lvl w:ilvl="8" w:tplc="040C0005" w:tentative="1">
      <w:start w:val="1"/>
      <w:numFmt w:val="bullet"/>
      <w:lvlText w:val=""/>
      <w:lvlJc w:val="left"/>
      <w:pPr>
        <w:ind w:left="7138" w:hanging="360"/>
      </w:pPr>
      <w:rPr>
        <w:rFonts w:ascii="Wingdings" w:hAnsi="Wingdings" w:hint="default"/>
      </w:rPr>
    </w:lvl>
  </w:abstractNum>
  <w:abstractNum w:abstractNumId="1">
    <w:nsid w:val="3A977278"/>
    <w:multiLevelType w:val="hybridMultilevel"/>
    <w:tmpl w:val="84261D56"/>
    <w:lvl w:ilvl="0" w:tplc="0D9C8BC6">
      <w:start w:val="7"/>
      <w:numFmt w:val="bullet"/>
      <w:lvlText w:val=""/>
      <w:lvlPicBulletId w:val="0"/>
      <w:lvlJc w:val="left"/>
      <w:pPr>
        <w:ind w:left="720" w:hanging="360"/>
      </w:pPr>
      <w:rPr>
        <w:rFonts w:ascii="Symbol" w:eastAsiaTheme="minorHAnsi"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E86B36"/>
    <w:multiLevelType w:val="hybridMultilevel"/>
    <w:tmpl w:val="974A60D8"/>
    <w:lvl w:ilvl="0" w:tplc="C9845408">
      <w:start w:val="3"/>
      <w:numFmt w:val="bullet"/>
      <w:lvlText w:val="-"/>
      <w:lvlJc w:val="left"/>
      <w:pPr>
        <w:ind w:left="1094" w:hanging="360"/>
      </w:pPr>
      <w:rPr>
        <w:rFonts w:ascii="Times New Roman" w:eastAsiaTheme="minorEastAsia" w:hAnsi="Times New Roman" w:cs="Times New Roman"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18"/>
    <w:rsid w:val="00037418"/>
    <w:rsid w:val="001608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1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4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1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dc:creator>
  <cp:lastModifiedBy>محمد</cp:lastModifiedBy>
  <cp:revision>2</cp:revision>
  <cp:lastPrinted>2020-12-05T16:30:00Z</cp:lastPrinted>
  <dcterms:created xsi:type="dcterms:W3CDTF">2020-12-05T16:26:00Z</dcterms:created>
  <dcterms:modified xsi:type="dcterms:W3CDTF">2020-12-05T16:30:00Z</dcterms:modified>
</cp:coreProperties>
</file>