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56" w:rsidRPr="00C20A1B" w:rsidRDefault="00C91256" w:rsidP="00C91256">
      <w:pPr>
        <w:spacing w:line="580" w:lineRule="atLeast"/>
        <w:jc w:val="center"/>
        <w:rPr>
          <w:rFonts w:hint="cs"/>
          <w:b/>
          <w:bCs/>
          <w:sz w:val="32"/>
          <w:rtl/>
        </w:rPr>
      </w:pPr>
      <w:r w:rsidRPr="00C20A1B">
        <w:rPr>
          <w:b/>
          <w:bCs/>
          <w:sz w:val="32"/>
          <w:rtl/>
        </w:rPr>
        <w:t>خصائص القانون الإداري</w:t>
      </w:r>
    </w:p>
    <w:p w:rsidR="00C91256" w:rsidRPr="00ED3EA6" w:rsidRDefault="00C91256" w:rsidP="00C91256">
      <w:pPr>
        <w:spacing w:line="580" w:lineRule="atLeast"/>
        <w:ind w:firstLine="585"/>
        <w:jc w:val="lowKashida"/>
        <w:rPr>
          <w:sz w:val="32"/>
          <w:rtl/>
        </w:rPr>
      </w:pPr>
      <w:r w:rsidRPr="00ED3EA6">
        <w:rPr>
          <w:sz w:val="32"/>
          <w:rtl/>
        </w:rPr>
        <w:t xml:space="preserve">ظهر القانون الإداري مستقلاً عن القانون الخاص متميزاً في قواعده مستمداً مبادئه من ظروف الحياة الإدارية وما يتلائم معها من حلول، فجاء قانوناً مرناً متجاوباً دائماً مع التطورات التي تلحق بالنظم السياسية والإجتماعية والاقتصادية، </w:t>
      </w:r>
      <w:r w:rsidRPr="00ED3EA6">
        <w:rPr>
          <w:rFonts w:hint="cs"/>
          <w:sz w:val="32"/>
          <w:rtl/>
        </w:rPr>
        <w:t>ف</w:t>
      </w:r>
      <w:r w:rsidRPr="00ED3EA6">
        <w:rPr>
          <w:sz w:val="32"/>
          <w:rtl/>
        </w:rPr>
        <w:t>القانون الإداري يتميز عن سائر فروع القانون الأخرى بخصائص متفردة، يمكن ت</w:t>
      </w:r>
      <w:r w:rsidRPr="00ED3EA6">
        <w:rPr>
          <w:rFonts w:hint="cs"/>
          <w:sz w:val="32"/>
          <w:rtl/>
        </w:rPr>
        <w:t>فصيله</w:t>
      </w:r>
      <w:r w:rsidRPr="00ED3EA6">
        <w:rPr>
          <w:sz w:val="32"/>
          <w:rtl/>
        </w:rPr>
        <w:t>ا فيما يلي: -</w:t>
      </w:r>
    </w:p>
    <w:p w:rsidR="00C91256" w:rsidRPr="00ED3EA6" w:rsidRDefault="00C91256" w:rsidP="00C91256">
      <w:pPr>
        <w:pStyle w:val="Titre1"/>
        <w:bidi/>
        <w:spacing w:line="580" w:lineRule="atLeast"/>
        <w:jc w:val="left"/>
        <w:rPr>
          <w:rtl/>
        </w:rPr>
      </w:pPr>
      <w:r w:rsidRPr="00ED3EA6">
        <w:rPr>
          <w:rtl/>
        </w:rPr>
        <w:t>أولاً: القانون الإداري ح</w:t>
      </w:r>
      <w:r w:rsidRPr="00ED3EA6">
        <w:rPr>
          <w:rFonts w:hint="cs"/>
          <w:rtl/>
        </w:rPr>
        <w:t>د</w:t>
      </w:r>
      <w:r w:rsidRPr="00ED3EA6">
        <w:rPr>
          <w:rtl/>
        </w:rPr>
        <w:t>يث النشأة :</w:t>
      </w:r>
    </w:p>
    <w:p w:rsidR="00C91256" w:rsidRPr="00ED3EA6" w:rsidRDefault="00C91256" w:rsidP="00C91256">
      <w:pPr>
        <w:spacing w:line="580" w:lineRule="atLeast"/>
        <w:jc w:val="lowKashida"/>
        <w:rPr>
          <w:sz w:val="32"/>
          <w:rtl/>
        </w:rPr>
      </w:pPr>
      <w:r w:rsidRPr="00ED3EA6">
        <w:rPr>
          <w:sz w:val="32"/>
          <w:rtl/>
        </w:rPr>
        <w:tab/>
        <w:t>نشأ القانون الإداري في فرنسا، (أقدم البلاد عهداً بالقانون الإدراي) ويرجع تاريخ نشأة القانون الإداري الحديث عند قيام الثورة الفرنسية في عام 1789</w:t>
      </w:r>
      <w:r w:rsidRPr="00ED3EA6">
        <w:rPr>
          <w:rFonts w:hint="cs"/>
          <w:sz w:val="32"/>
          <w:rtl/>
        </w:rPr>
        <w:t xml:space="preserve">، </w:t>
      </w:r>
      <w:r w:rsidRPr="00ED3EA6">
        <w:rPr>
          <w:sz w:val="32"/>
          <w:rtl/>
        </w:rPr>
        <w:t>وذلك عندما فسر رجال الثورة الفرنسية مبدأ الفصل بين السلطات تفسيراً جديداً لظروف اجتماعية كانت حادثة في ذلك الوقت</w:t>
      </w:r>
      <w:r w:rsidRPr="00ED3EA6">
        <w:rPr>
          <w:rFonts w:hint="cs"/>
          <w:sz w:val="32"/>
          <w:rtl/>
        </w:rPr>
        <w:t>،</w:t>
      </w:r>
      <w:r w:rsidRPr="00ED3EA6">
        <w:rPr>
          <w:sz w:val="32"/>
          <w:rtl/>
        </w:rPr>
        <w:t xml:space="preserve"> ولم يكن ذلك التفسير معمولاً به في الدولة التي كانت آخذة به وقتذاك كإنجلترا والولايات المتحدة الأمريكية. وتطبيقاً لهذا التفسير الجديد لمبدأ الفصل بين السلطات تم إنتزاع أقضية الإدارة من يد القضاء وأصبحت الإدارة تفصل في المنازعات التي تتعلق بها حتى قيام مجلس الدولة الذي تولى الفصل في المنازعات التي تتعلق بالإدارة. ويمكن القول بأن نشأة القانون الإداري لم تكن نتيجة فلسفة معينة أو إعمالاً لقواعد موضوعية</w:t>
      </w:r>
      <w:r w:rsidRPr="00ED3EA6">
        <w:rPr>
          <w:rFonts w:hint="cs"/>
          <w:sz w:val="32"/>
          <w:rtl/>
        </w:rPr>
        <w:t>،</w:t>
      </w:r>
      <w:r w:rsidRPr="00ED3EA6">
        <w:rPr>
          <w:sz w:val="32"/>
          <w:rtl/>
        </w:rPr>
        <w:t xml:space="preserve"> بل لأسباب تاريخية بحتة</w:t>
      </w:r>
      <w:r w:rsidRPr="00ED3EA6">
        <w:rPr>
          <w:rFonts w:hint="cs"/>
          <w:sz w:val="32"/>
          <w:rtl/>
        </w:rPr>
        <w:t>.</w:t>
      </w:r>
      <w:r w:rsidRPr="00ED3EA6">
        <w:rPr>
          <w:sz w:val="32"/>
          <w:rtl/>
        </w:rPr>
        <w:t xml:space="preserve"> ولم يبدأ القانون الإداري في الظهور بوصفه قانوناً مستقلاً من القانون المدني إلا في القرن السادس عشر، بل أن الأفكار الرئيسة والنظريات الأساسية التي يتميز بها القانون الإداري لم تتبلور إلا خلال القرن العشرين</w:t>
      </w:r>
      <w:r w:rsidRPr="00ED3EA6">
        <w:rPr>
          <w:rStyle w:val="Appelnotedebasdep"/>
          <w:sz w:val="32"/>
        </w:rPr>
        <w:footnoteReference w:customMarkFollows="1" w:id="2"/>
        <w:t>(1)</w:t>
      </w:r>
      <w:r w:rsidRPr="00ED3EA6">
        <w:rPr>
          <w:sz w:val="32"/>
          <w:rtl/>
        </w:rPr>
        <w:t>.</w:t>
      </w:r>
    </w:p>
    <w:p w:rsidR="00C91256" w:rsidRPr="00ED3EA6" w:rsidRDefault="00C91256" w:rsidP="00C91256">
      <w:pPr>
        <w:pStyle w:val="Titre1"/>
        <w:bidi/>
        <w:spacing w:line="580" w:lineRule="atLeast"/>
        <w:jc w:val="left"/>
        <w:rPr>
          <w:rtl/>
        </w:rPr>
      </w:pPr>
      <w:r w:rsidRPr="00ED3EA6">
        <w:rPr>
          <w:rtl/>
        </w:rPr>
        <w:t xml:space="preserve">ثانياً : القانون الإداري قانون قضائي: </w:t>
      </w:r>
    </w:p>
    <w:p w:rsidR="00C91256" w:rsidRPr="00ED3EA6" w:rsidRDefault="00C91256" w:rsidP="00C91256">
      <w:pPr>
        <w:spacing w:line="580" w:lineRule="atLeast"/>
        <w:jc w:val="lowKashida"/>
        <w:rPr>
          <w:sz w:val="32"/>
          <w:rtl/>
        </w:rPr>
      </w:pPr>
      <w:r w:rsidRPr="00ED3EA6">
        <w:rPr>
          <w:sz w:val="32"/>
          <w:rtl/>
        </w:rPr>
        <w:tab/>
        <w:t>القضاء الإداري ليس قضاءاً تطبيقياً كالقضاء المدني</w:t>
      </w:r>
      <w:r w:rsidRPr="00ED3EA6">
        <w:rPr>
          <w:rFonts w:hint="cs"/>
          <w:sz w:val="32"/>
          <w:rtl/>
        </w:rPr>
        <w:t>،</w:t>
      </w:r>
      <w:r w:rsidRPr="00ED3EA6">
        <w:rPr>
          <w:sz w:val="32"/>
          <w:rtl/>
        </w:rPr>
        <w:t xml:space="preserve"> وإنما هو إنشائي يقوم بإتباع الحلول المناسبة في المنازعات الإدارية، ومعظم المبادئ والنظريات التي يتكون منها القانون الإداري ترجع في نشأتها إلي مجلس الدولة الفرنسي، الذي اضطر أمام عدم وجود نصوص قانونية تحكم المنازعات المطروحة إلي </w:t>
      </w:r>
      <w:r w:rsidRPr="00ED3EA6">
        <w:rPr>
          <w:rFonts w:hint="cs"/>
          <w:sz w:val="32"/>
          <w:rtl/>
        </w:rPr>
        <w:t>ابتكار</w:t>
      </w:r>
      <w:r w:rsidRPr="00ED3EA6">
        <w:rPr>
          <w:sz w:val="32"/>
          <w:rtl/>
        </w:rPr>
        <w:t xml:space="preserve"> الحلول والقواعد التي تحسم هذه المنازعات، </w:t>
      </w:r>
      <w:r w:rsidRPr="00ED3EA6">
        <w:rPr>
          <w:sz w:val="32"/>
          <w:rtl/>
        </w:rPr>
        <w:lastRenderedPageBreak/>
        <w:t>أما في نطاق القانون الخاص الذي نشأ واستقرت أحكامه قبل نشأة القانون الإداري بزمن طويل، فإن القاضي عادةً ما يجد نصوصاً تحكم المنازعات بين الأفراد ولذلك يقتصر دوره في الغالب الأعم من الحالات علي تطبيق هذه النصوص</w:t>
      </w:r>
      <w:r w:rsidRPr="00ED3EA6">
        <w:rPr>
          <w:rStyle w:val="Appelnotedebasdep"/>
          <w:sz w:val="32"/>
        </w:rPr>
        <w:footnoteReference w:customMarkFollows="1" w:id="3"/>
        <w:t>(1)</w:t>
      </w:r>
      <w:r w:rsidRPr="00ED3EA6">
        <w:rPr>
          <w:sz w:val="32"/>
          <w:rtl/>
        </w:rPr>
        <w:t xml:space="preserve">. ويؤدي الطابع القضائي لقواعد القانون القضائي إلي إضفاء صفة عملية علي هذه القواعد، ذلك أن القاضي الإداري يسعى بصدد كل نزاع يطرح عليه إلي ابتكار الحل الملائم لهذا النزاع دون التقيد بمبادئ مجردة، ولكن الدور الكبير الذي يلعبه القضاء الإداري في إنشاء القواعد الإداري يعني أن دور المشرع يكون محدداً هذا المجال </w:t>
      </w:r>
      <w:r w:rsidRPr="00ED3EA6">
        <w:rPr>
          <w:sz w:val="32"/>
        </w:rPr>
        <w:t>–</w:t>
      </w:r>
      <w:r w:rsidRPr="00ED3EA6">
        <w:rPr>
          <w:sz w:val="32"/>
          <w:rtl/>
        </w:rPr>
        <w:t xml:space="preserve"> فكثيراً ما يتدخل المشرع لكي يقنن في صورة قواعد تشريعية القواعد التي يستقر عليها القضاء</w:t>
      </w:r>
      <w:r w:rsidRPr="00ED3EA6">
        <w:rPr>
          <w:rStyle w:val="Appelnotedebasdep"/>
          <w:sz w:val="32"/>
        </w:rPr>
        <w:footnoteReference w:customMarkFollows="1" w:id="4"/>
        <w:t>(2)</w:t>
      </w:r>
      <w:r w:rsidRPr="00ED3EA6">
        <w:rPr>
          <w:sz w:val="32"/>
          <w:rtl/>
        </w:rPr>
        <w:t>.</w:t>
      </w:r>
    </w:p>
    <w:p w:rsidR="00C91256" w:rsidRPr="00ED3EA6" w:rsidRDefault="00C91256" w:rsidP="00C91256">
      <w:pPr>
        <w:pStyle w:val="Titre1"/>
        <w:bidi/>
        <w:spacing w:line="580" w:lineRule="atLeast"/>
        <w:jc w:val="left"/>
        <w:rPr>
          <w:rtl/>
        </w:rPr>
      </w:pPr>
      <w:r w:rsidRPr="00ED3EA6">
        <w:rPr>
          <w:rtl/>
        </w:rPr>
        <w:t xml:space="preserve">ثالثاً: القانون الإداري قانون غير مقنن: </w:t>
      </w:r>
    </w:p>
    <w:p w:rsidR="00C91256" w:rsidRPr="00ED3EA6" w:rsidRDefault="00C91256" w:rsidP="00C91256">
      <w:pPr>
        <w:spacing w:line="580" w:lineRule="atLeast"/>
        <w:jc w:val="lowKashida"/>
        <w:rPr>
          <w:sz w:val="32"/>
          <w:rtl/>
        </w:rPr>
      </w:pPr>
      <w:r w:rsidRPr="00ED3EA6">
        <w:rPr>
          <w:sz w:val="32"/>
          <w:rtl/>
        </w:rPr>
        <w:tab/>
        <w:t xml:space="preserve">يقصد بالتقنين جمع القواعد والأحكام القانونية في متن واحد، كما هو الحال بالنسبة للقانون المدني والجنائي </w:t>
      </w:r>
      <w:r w:rsidRPr="00ED3EA6">
        <w:rPr>
          <w:sz w:val="32"/>
        </w:rPr>
        <w:t>–</w:t>
      </w:r>
      <w:r w:rsidRPr="00ED3EA6">
        <w:rPr>
          <w:sz w:val="32"/>
          <w:rtl/>
        </w:rPr>
        <w:t xml:space="preserve"> ويلاحظ عدم إمكان تجميع قواعد وأحكام القانون الإداري في متن واحد وذلك لأسباب كثيرة منها، أن القانون الإداري قد نشأ ببطء وتدريجياً وأنه قانون متطور دائماً بتطور الظروف </w:t>
      </w:r>
      <w:r w:rsidRPr="00ED3EA6">
        <w:rPr>
          <w:rFonts w:hint="cs"/>
          <w:sz w:val="32"/>
          <w:rtl/>
        </w:rPr>
        <w:t>الإجماعية</w:t>
      </w:r>
      <w:r w:rsidRPr="00ED3EA6">
        <w:rPr>
          <w:sz w:val="32"/>
          <w:rtl/>
        </w:rPr>
        <w:t xml:space="preserve"> والاقتصادية في الدولة كما أنه ليس من اليسر صياغة قواعد القانون الإداري في شكل مواد شاملة وثابتة مما يؤدي إلي جمود القانون ويعوق تطوره</w:t>
      </w:r>
      <w:r w:rsidRPr="00ED3EA6">
        <w:rPr>
          <w:rStyle w:val="Appelnotedebasdep"/>
          <w:sz w:val="32"/>
        </w:rPr>
        <w:footnoteReference w:customMarkFollows="1" w:id="5"/>
        <w:t>(3)</w:t>
      </w:r>
      <w:r w:rsidRPr="00ED3EA6">
        <w:rPr>
          <w:sz w:val="32"/>
          <w:rtl/>
        </w:rPr>
        <w:t>.</w:t>
      </w:r>
    </w:p>
    <w:p w:rsidR="00C91256" w:rsidRPr="00ED3EA6" w:rsidRDefault="00C91256" w:rsidP="00C91256">
      <w:pPr>
        <w:spacing w:line="580" w:lineRule="atLeast"/>
        <w:ind w:firstLine="720"/>
        <w:jc w:val="lowKashida"/>
        <w:rPr>
          <w:sz w:val="32"/>
          <w:rtl/>
        </w:rPr>
      </w:pPr>
      <w:r w:rsidRPr="00ED3EA6">
        <w:rPr>
          <w:sz w:val="32"/>
          <w:rtl/>
        </w:rPr>
        <w:t>وذهب بعض الفقهاء بضرورة تقنين القانون الإداري للإستفادة من مزايا التقنين</w:t>
      </w:r>
      <w:r w:rsidRPr="00ED3EA6">
        <w:rPr>
          <w:rFonts w:hint="cs"/>
          <w:sz w:val="32"/>
          <w:rtl/>
        </w:rPr>
        <w:t xml:space="preserve"> والتي تمكن</w:t>
      </w:r>
      <w:r w:rsidRPr="00ED3EA6">
        <w:rPr>
          <w:sz w:val="32"/>
          <w:rtl/>
        </w:rPr>
        <w:t xml:space="preserve"> في وضوح القواعد القانونية وتحديدها وسهولة التعرف عليها، كما أنه يتيح للمهتمين بهذا القانون فرصة إصلاح النظم الإدارية التي تبين عدم صلاحيتها عند التطبيق العملي. ولكن عدم تقنين القانون الإداري لا يمنع من وجود بعض التشريعات الإدارية الجزئية المقننة، تشتمل علي القواعد التي تطبق علي جوانب تنظيم الإدارة وأنشطتها (مثل قوانين الإدارة العامة والقطاع العام).</w:t>
      </w:r>
    </w:p>
    <w:p w:rsidR="00C91256" w:rsidRPr="00ED3EA6" w:rsidRDefault="00C91256" w:rsidP="00C91256">
      <w:pPr>
        <w:pStyle w:val="Titre1"/>
        <w:bidi/>
        <w:spacing w:line="580" w:lineRule="atLeast"/>
        <w:jc w:val="lowKashida"/>
        <w:rPr>
          <w:rtl/>
        </w:rPr>
      </w:pPr>
      <w:r w:rsidRPr="00ED3EA6">
        <w:rPr>
          <w:rtl/>
        </w:rPr>
        <w:lastRenderedPageBreak/>
        <w:t xml:space="preserve">رابعاً: القانون الإداري قانون مرن وقابل للتطور: </w:t>
      </w:r>
      <w:r w:rsidRPr="00ED3EA6">
        <w:rPr>
          <w:rtl/>
        </w:rPr>
        <w:tab/>
      </w:r>
    </w:p>
    <w:p w:rsidR="00C91256" w:rsidRPr="00ED3EA6" w:rsidRDefault="00C91256" w:rsidP="00C91256">
      <w:pPr>
        <w:spacing w:line="580" w:lineRule="atLeast"/>
        <w:jc w:val="lowKashida"/>
        <w:rPr>
          <w:sz w:val="32"/>
          <w:rtl/>
        </w:rPr>
      </w:pPr>
      <w:r w:rsidRPr="00ED3EA6">
        <w:rPr>
          <w:sz w:val="32"/>
          <w:rtl/>
        </w:rPr>
        <w:tab/>
        <w:t>تمتاز قواعد القانون الإداري بالمرونة والقابلية للتطور نظراً لأنها لم تقنن في نصوص تشريعية محددة، وإنما جاءت وليدة الظروف الواقعية، ولا شك أن هذه المرونة التي يتمتع بها القانون الإداري تساعد علي تطوره المستمر. فالقانون الإداري شديد الحساسية لما يجري في الدولة من تطورات متجاوباً مع الظروف المتغيرة حتى لا تعوق النشاط الإداري.</w:t>
      </w:r>
    </w:p>
    <w:p w:rsidR="00C91256" w:rsidRPr="00ED3EA6" w:rsidRDefault="00C91256" w:rsidP="00C91256">
      <w:pPr>
        <w:spacing w:line="580" w:lineRule="atLeast"/>
        <w:jc w:val="lowKashida"/>
        <w:rPr>
          <w:sz w:val="32"/>
          <w:rtl/>
        </w:rPr>
      </w:pPr>
      <w:r w:rsidRPr="00ED3EA6">
        <w:rPr>
          <w:sz w:val="32"/>
          <w:rtl/>
        </w:rPr>
        <w:tab/>
        <w:t>بالرغم من ميزة مرونة القانون الإداري إلا أن هذه المرونة والقابلية للتطور السريع قد تؤثر في ثقة الناس واحترامهم للقانون الإداري لأن من خصائص القانون الثبات والاستقرار والعمومية حتى يحقق العدل والمساواة بين الناس</w:t>
      </w:r>
      <w:r w:rsidRPr="00ED3EA6">
        <w:rPr>
          <w:rStyle w:val="Appelnotedebasdep"/>
          <w:sz w:val="32"/>
        </w:rPr>
        <w:footnoteReference w:customMarkFollows="1" w:id="6"/>
        <w:t>(1)</w:t>
      </w:r>
      <w:r w:rsidRPr="00ED3EA6">
        <w:rPr>
          <w:sz w:val="32"/>
          <w:rtl/>
        </w:rPr>
        <w:t>.</w:t>
      </w:r>
    </w:p>
    <w:p w:rsidR="00C91256" w:rsidRPr="00ED3EA6" w:rsidRDefault="00C91256" w:rsidP="00C91256">
      <w:pPr>
        <w:pStyle w:val="Titre1"/>
        <w:bidi/>
        <w:spacing w:line="580" w:lineRule="atLeast"/>
        <w:jc w:val="lowKashida"/>
        <w:rPr>
          <w:rtl/>
        </w:rPr>
      </w:pPr>
      <w:r w:rsidRPr="00C20A1B">
        <w:rPr>
          <w:u w:val="single"/>
          <w:rtl/>
        </w:rPr>
        <w:t>خصائص القانون الإداري في النظام الإسلامي</w:t>
      </w:r>
      <w:r w:rsidRPr="00ED3EA6">
        <w:rPr>
          <w:rtl/>
        </w:rPr>
        <w:t xml:space="preserve">: </w:t>
      </w:r>
    </w:p>
    <w:p w:rsidR="00C91256" w:rsidRPr="00ED3EA6" w:rsidRDefault="00C91256" w:rsidP="00C91256">
      <w:pPr>
        <w:spacing w:line="580" w:lineRule="atLeast"/>
        <w:jc w:val="lowKashida"/>
        <w:rPr>
          <w:rFonts w:hint="cs"/>
          <w:sz w:val="32"/>
          <w:rtl/>
        </w:rPr>
      </w:pPr>
      <w:r w:rsidRPr="00ED3EA6">
        <w:rPr>
          <w:sz w:val="32"/>
          <w:rtl/>
        </w:rPr>
        <w:tab/>
        <w:t>يتميز القانون الإداري في النظام الإسلامي بخصائص متفردة يمكن إجمالها في الآتي:</w:t>
      </w:r>
    </w:p>
    <w:p w:rsidR="00C91256" w:rsidRPr="00ED3EA6" w:rsidRDefault="00C91256" w:rsidP="00C91256">
      <w:pPr>
        <w:spacing w:line="580" w:lineRule="atLeast"/>
        <w:jc w:val="lowKashida"/>
        <w:rPr>
          <w:rFonts w:hint="cs"/>
          <w:sz w:val="32"/>
          <w:rtl/>
        </w:rPr>
      </w:pPr>
      <w:r w:rsidRPr="00ED3EA6">
        <w:rPr>
          <w:sz w:val="32"/>
          <w:rtl/>
        </w:rPr>
        <w:t xml:space="preserve">أولاً: قيام النظام الإسلامي علي وحدة القانون: فالنظام الإداري الإسلامي لا يعرف الازدواج بل يطبق أحكام واحدة علي كل العلاقات </w:t>
      </w:r>
      <w:r w:rsidRPr="00ED3EA6">
        <w:rPr>
          <w:rFonts w:hint="cs"/>
          <w:sz w:val="32"/>
          <w:rtl/>
        </w:rPr>
        <w:t>القانونية</w:t>
      </w:r>
      <w:r w:rsidRPr="00ED3EA6">
        <w:rPr>
          <w:sz w:val="32"/>
          <w:rtl/>
        </w:rPr>
        <w:t xml:space="preserve"> ولهذه الوحدة القانونية أسباب منها</w:t>
      </w:r>
      <w:r w:rsidRPr="00ED3EA6">
        <w:rPr>
          <w:rStyle w:val="Appelnotedebasdep"/>
          <w:sz w:val="32"/>
        </w:rPr>
        <w:footnoteReference w:customMarkFollows="1" w:id="7"/>
        <w:t>(2)</w:t>
      </w:r>
      <w:r w:rsidRPr="00ED3EA6">
        <w:rPr>
          <w:sz w:val="32"/>
          <w:rtl/>
        </w:rPr>
        <w:t xml:space="preserve">: </w:t>
      </w:r>
    </w:p>
    <w:p w:rsidR="00C91256" w:rsidRPr="00ED3EA6" w:rsidRDefault="00C91256" w:rsidP="00C91256">
      <w:pPr>
        <w:numPr>
          <w:ilvl w:val="0"/>
          <w:numId w:val="1"/>
        </w:numPr>
        <w:tabs>
          <w:tab w:val="clear" w:pos="648"/>
          <w:tab w:val="num" w:pos="-942"/>
        </w:tabs>
        <w:spacing w:line="580" w:lineRule="atLeast"/>
        <w:ind w:right="0"/>
        <w:jc w:val="lowKashida"/>
        <w:rPr>
          <w:sz w:val="32"/>
          <w:rtl/>
        </w:rPr>
      </w:pPr>
      <w:r w:rsidRPr="00ED3EA6">
        <w:rPr>
          <w:sz w:val="32"/>
          <w:rtl/>
        </w:rPr>
        <w:t>أن أحكام الشريعة الإسلامية لا تقبل التجزئة وإنها خطاب عام للحاكم والمحكوم</w:t>
      </w:r>
      <w:r w:rsidRPr="00ED3EA6">
        <w:rPr>
          <w:rFonts w:hint="cs"/>
          <w:sz w:val="32"/>
          <w:rtl/>
        </w:rPr>
        <w:t>،</w:t>
      </w:r>
      <w:r w:rsidRPr="00ED3EA6">
        <w:rPr>
          <w:sz w:val="32"/>
          <w:rtl/>
        </w:rPr>
        <w:t xml:space="preserve"> وجاء هذا الخطاب عاماً لوضع الفرد في مركز المخاطبة لا تخصيص فيه ولا تمييز.</w:t>
      </w:r>
    </w:p>
    <w:p w:rsidR="00C91256" w:rsidRPr="00C91256" w:rsidRDefault="00C91256" w:rsidP="00C91256">
      <w:pPr>
        <w:numPr>
          <w:ilvl w:val="0"/>
          <w:numId w:val="1"/>
        </w:numPr>
        <w:tabs>
          <w:tab w:val="clear" w:pos="648"/>
          <w:tab w:val="num" w:pos="-222"/>
        </w:tabs>
        <w:spacing w:line="580" w:lineRule="atLeast"/>
        <w:ind w:right="0"/>
        <w:jc w:val="lowKashida"/>
        <w:rPr>
          <w:sz w:val="32"/>
          <w:rtl/>
        </w:rPr>
      </w:pPr>
      <w:r w:rsidRPr="00ED3EA6">
        <w:rPr>
          <w:sz w:val="32"/>
          <w:rtl/>
        </w:rPr>
        <w:t xml:space="preserve">إن الدولة الإسلامية وليدة القانون </w:t>
      </w:r>
      <w:r w:rsidRPr="00ED3EA6">
        <w:rPr>
          <w:rFonts w:hint="cs"/>
          <w:sz w:val="32"/>
          <w:rtl/>
        </w:rPr>
        <w:t xml:space="preserve">ابتداءً ، خلافاً للنظم </w:t>
      </w:r>
      <w:r w:rsidRPr="00ED3EA6">
        <w:rPr>
          <w:sz w:val="32"/>
          <w:rtl/>
        </w:rPr>
        <w:t>الوضعية حيث أن الدولة تحدد نفسها بنفسها، فهي تنشئ النظم والقوانين اللازمة لها بما تراه، فإذا تغير نظام الدولة فإن النظام السابق يكون قابلاً للتغيير وينسخ بما تضعه الدولة الحديثة من نظم وقوانين، ويترتب علي ذلك أن تستثنى نفسها عن القواعد العامة التي تطبق على الأفراد.</w:t>
      </w:r>
      <w:r w:rsidRPr="00C91256">
        <w:rPr>
          <w:sz w:val="32"/>
          <w:rtl/>
        </w:rPr>
        <w:t xml:space="preserve">أما في النظام الإسلامي فالدولة وليدة القانون من البداية فلا تستطيع أن تزيد علي ما هو مقرر شيئاً </w:t>
      </w:r>
      <w:r w:rsidRPr="00C91256">
        <w:rPr>
          <w:rFonts w:hint="cs"/>
          <w:sz w:val="32"/>
          <w:rtl/>
        </w:rPr>
        <w:t xml:space="preserve">، </w:t>
      </w:r>
      <w:r w:rsidRPr="00C91256">
        <w:rPr>
          <w:sz w:val="32"/>
          <w:rtl/>
        </w:rPr>
        <w:t>ومن المعلوم أن القرآن الكريم قد بدأ نزوله في مكة قبل هجرة الرسول صلي الله عليه وسلم إلي المدينة و</w:t>
      </w:r>
      <w:r w:rsidRPr="00C91256">
        <w:rPr>
          <w:rFonts w:hint="cs"/>
          <w:sz w:val="32"/>
          <w:rtl/>
        </w:rPr>
        <w:t>ا</w:t>
      </w:r>
      <w:r w:rsidRPr="00C91256">
        <w:rPr>
          <w:sz w:val="32"/>
          <w:rtl/>
        </w:rPr>
        <w:t>نش</w:t>
      </w:r>
      <w:r w:rsidRPr="00C91256">
        <w:rPr>
          <w:rFonts w:hint="cs"/>
          <w:sz w:val="32"/>
          <w:rtl/>
        </w:rPr>
        <w:t>أ</w:t>
      </w:r>
      <w:r w:rsidRPr="00C91256">
        <w:rPr>
          <w:sz w:val="32"/>
          <w:rtl/>
        </w:rPr>
        <w:t xml:space="preserve"> الدولة الإسلامية فيها وأن </w:t>
      </w:r>
      <w:r w:rsidRPr="00C91256">
        <w:rPr>
          <w:sz w:val="32"/>
          <w:rtl/>
        </w:rPr>
        <w:lastRenderedPageBreak/>
        <w:t>التشريع تعاقب نزوله بعدها واكتملت أصوله وجاءت الدولة الإسلامية من بعد ذلك مقيدة بهذه الأصول لا تخرج عنها</w:t>
      </w:r>
      <w:r w:rsidRPr="00C91256">
        <w:rPr>
          <w:rStyle w:val="Appelnotedebasdep"/>
          <w:sz w:val="32"/>
        </w:rPr>
        <w:footnoteReference w:customMarkFollows="1" w:id="8"/>
        <w:t>(1)</w:t>
      </w:r>
      <w:r w:rsidRPr="00C91256">
        <w:rPr>
          <w:sz w:val="32"/>
          <w:rtl/>
        </w:rPr>
        <w:t>.</w:t>
      </w:r>
    </w:p>
    <w:p w:rsidR="00C91256" w:rsidRPr="00ED3EA6" w:rsidRDefault="00C91256" w:rsidP="00C91256">
      <w:pPr>
        <w:pStyle w:val="Titre1"/>
        <w:bidi/>
        <w:spacing w:line="580" w:lineRule="atLeast"/>
        <w:jc w:val="left"/>
        <w:rPr>
          <w:rtl/>
        </w:rPr>
      </w:pPr>
      <w:r w:rsidRPr="00ED3EA6">
        <w:rPr>
          <w:rtl/>
        </w:rPr>
        <w:t xml:space="preserve">ثانياً : قيام النظام الإسلامي علي المشروعية الإسلامية: </w:t>
      </w:r>
    </w:p>
    <w:p w:rsidR="00C91256" w:rsidRPr="00ED3EA6" w:rsidRDefault="00C91256" w:rsidP="00C91256">
      <w:pPr>
        <w:spacing w:line="580" w:lineRule="atLeast"/>
        <w:jc w:val="lowKashida"/>
        <w:rPr>
          <w:sz w:val="32"/>
          <w:rtl/>
        </w:rPr>
      </w:pPr>
      <w:r w:rsidRPr="00ED3EA6">
        <w:rPr>
          <w:sz w:val="32"/>
          <w:rtl/>
        </w:rPr>
        <w:tab/>
        <w:t xml:space="preserve">في فقه القانون تتعدد مصادر المشروعية وتتدرج وفي فقه النظام الإسلامي مصادر المشروعية لا تتعدد في الحقيقة </w:t>
      </w:r>
      <w:r w:rsidRPr="00ED3EA6">
        <w:rPr>
          <w:sz w:val="32"/>
        </w:rPr>
        <w:t>–</w:t>
      </w:r>
      <w:r w:rsidRPr="00ED3EA6">
        <w:rPr>
          <w:sz w:val="32"/>
          <w:rtl/>
        </w:rPr>
        <w:t xml:space="preserve"> فمصدرها الأصيل الوحي وكل المصادر بعد ذلك مردودة إليه وكون الوحي مصدر المشروعية الأصيل يعطي هذه المشروعية مزايا لا تعرفها أي مشروعية أخرى</w:t>
      </w:r>
      <w:r w:rsidRPr="00ED3EA6">
        <w:rPr>
          <w:rStyle w:val="Appelnotedebasdep"/>
          <w:sz w:val="32"/>
        </w:rPr>
        <w:footnoteReference w:customMarkFollows="1" w:id="9"/>
        <w:t>(2)</w:t>
      </w:r>
      <w:r w:rsidRPr="00ED3EA6">
        <w:rPr>
          <w:sz w:val="32"/>
          <w:rtl/>
        </w:rPr>
        <w:t>.</w:t>
      </w:r>
    </w:p>
    <w:p w:rsidR="00DE5641" w:rsidRDefault="00DE5641" w:rsidP="00C91256"/>
    <w:sectPr w:rsidR="00DE5641" w:rsidSect="00DE56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0D1" w:rsidRDefault="009B00D1" w:rsidP="00C91256">
      <w:r>
        <w:separator/>
      </w:r>
    </w:p>
  </w:endnote>
  <w:endnote w:type="continuationSeparator" w:id="1">
    <w:p w:rsidR="009B00D1" w:rsidRDefault="009B00D1" w:rsidP="00C91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0D1" w:rsidRDefault="009B00D1" w:rsidP="00C91256">
      <w:r>
        <w:separator/>
      </w:r>
    </w:p>
  </w:footnote>
  <w:footnote w:type="continuationSeparator" w:id="1">
    <w:p w:rsidR="009B00D1" w:rsidRDefault="009B00D1" w:rsidP="00C91256">
      <w:r>
        <w:continuationSeparator/>
      </w:r>
    </w:p>
  </w:footnote>
  <w:footnote w:id="2">
    <w:p w:rsidR="00C91256" w:rsidRDefault="00C91256" w:rsidP="00C91256">
      <w:pPr>
        <w:pStyle w:val="Notedebasdepage"/>
        <w:jc w:val="lowKashida"/>
        <w:rPr>
          <w:sz w:val="24"/>
          <w:rtl/>
        </w:rPr>
      </w:pPr>
      <w:r>
        <w:rPr>
          <w:rStyle w:val="Appelnotedebasdep"/>
          <w:sz w:val="24"/>
          <w:rtl/>
        </w:rPr>
        <w:t>(1)</w:t>
      </w:r>
      <w:r>
        <w:rPr>
          <w:sz w:val="24"/>
          <w:rtl/>
        </w:rPr>
        <w:t xml:space="preserve"> أنظر الدكتور توفيق شحاتة</w:t>
      </w:r>
      <w:r>
        <w:rPr>
          <w:rFonts w:hint="cs"/>
          <w:sz w:val="24"/>
          <w:rtl/>
        </w:rPr>
        <w:t>،</w:t>
      </w:r>
      <w:r>
        <w:rPr>
          <w:sz w:val="24"/>
          <w:rtl/>
        </w:rPr>
        <w:t xml:space="preserve">مبادئ القانون الإداري الجزء الأول </w:t>
      </w:r>
      <w:r>
        <w:rPr>
          <w:rFonts w:hint="cs"/>
          <w:sz w:val="24"/>
          <w:rtl/>
        </w:rPr>
        <w:t>، دار النهضة العربية ،</w:t>
      </w:r>
      <w:r>
        <w:rPr>
          <w:sz w:val="24"/>
          <w:rtl/>
        </w:rPr>
        <w:t>ط</w:t>
      </w:r>
      <w:r>
        <w:rPr>
          <w:rFonts w:hint="cs"/>
          <w:sz w:val="24"/>
          <w:rtl/>
        </w:rPr>
        <w:t xml:space="preserve"> </w:t>
      </w:r>
      <w:r>
        <w:rPr>
          <w:sz w:val="24"/>
          <w:rtl/>
        </w:rPr>
        <w:t>1954م ص 93.</w:t>
      </w:r>
    </w:p>
  </w:footnote>
  <w:footnote w:id="3">
    <w:p w:rsidR="00C91256" w:rsidRDefault="00C91256" w:rsidP="00C91256">
      <w:pPr>
        <w:pStyle w:val="Notedebasdepage"/>
        <w:jc w:val="lowKashida"/>
        <w:rPr>
          <w:sz w:val="24"/>
          <w:rtl/>
        </w:rPr>
      </w:pPr>
      <w:r>
        <w:rPr>
          <w:rStyle w:val="Appelnotedebasdep"/>
          <w:sz w:val="24"/>
          <w:rtl/>
        </w:rPr>
        <w:t>(1)</w:t>
      </w:r>
      <w:r>
        <w:rPr>
          <w:sz w:val="24"/>
          <w:rtl/>
        </w:rPr>
        <w:t xml:space="preserve"> راجع د. يسري العطاء ، مرجع سابق ، ص 33.</w:t>
      </w:r>
    </w:p>
  </w:footnote>
  <w:footnote w:id="4">
    <w:p w:rsidR="00C91256" w:rsidRDefault="00C91256" w:rsidP="00C91256">
      <w:pPr>
        <w:pStyle w:val="Notedebasdepage"/>
        <w:jc w:val="lowKashida"/>
        <w:rPr>
          <w:sz w:val="24"/>
          <w:rtl/>
        </w:rPr>
      </w:pPr>
      <w:r>
        <w:rPr>
          <w:rStyle w:val="Appelnotedebasdep"/>
          <w:sz w:val="24"/>
          <w:rtl/>
        </w:rPr>
        <w:t>(2)</w:t>
      </w:r>
      <w:r>
        <w:rPr>
          <w:sz w:val="24"/>
          <w:rtl/>
        </w:rPr>
        <w:t xml:space="preserve"> المرجع السابق ، ص 34.</w:t>
      </w:r>
    </w:p>
  </w:footnote>
  <w:footnote w:id="5">
    <w:p w:rsidR="00C91256" w:rsidRDefault="00C91256" w:rsidP="00C91256">
      <w:pPr>
        <w:pStyle w:val="Notedebasdepage"/>
        <w:jc w:val="lowKashida"/>
        <w:rPr>
          <w:sz w:val="24"/>
          <w:rtl/>
        </w:rPr>
      </w:pPr>
      <w:r>
        <w:rPr>
          <w:rStyle w:val="Appelnotedebasdep"/>
          <w:sz w:val="24"/>
          <w:rtl/>
        </w:rPr>
        <w:t>(3)</w:t>
      </w:r>
      <w:r>
        <w:rPr>
          <w:sz w:val="24"/>
          <w:rtl/>
        </w:rPr>
        <w:t xml:space="preserve"> </w:t>
      </w:r>
      <w:r w:rsidRPr="00A439BA">
        <w:rPr>
          <w:sz w:val="22"/>
          <w:szCs w:val="22"/>
          <w:rtl/>
        </w:rPr>
        <w:t>راجع في ذلك د. ثروت بدوي</w:t>
      </w:r>
      <w:r w:rsidRPr="00A439BA">
        <w:rPr>
          <w:rFonts w:hint="cs"/>
          <w:sz w:val="22"/>
          <w:szCs w:val="22"/>
          <w:rtl/>
        </w:rPr>
        <w:t>،</w:t>
      </w:r>
      <w:r w:rsidRPr="00A439BA">
        <w:rPr>
          <w:sz w:val="22"/>
          <w:szCs w:val="22"/>
          <w:rtl/>
        </w:rPr>
        <w:t xml:space="preserve"> القانون الإداري </w:t>
      </w:r>
      <w:r w:rsidRPr="00A439BA">
        <w:rPr>
          <w:rFonts w:hint="cs"/>
          <w:sz w:val="22"/>
          <w:szCs w:val="22"/>
          <w:rtl/>
        </w:rPr>
        <w:t xml:space="preserve">، مرجع سابق ، </w:t>
      </w:r>
      <w:r w:rsidRPr="00A439BA">
        <w:rPr>
          <w:sz w:val="22"/>
          <w:szCs w:val="22"/>
          <w:rtl/>
        </w:rPr>
        <w:t>ص 95، و د. توفيق شحاتة مرجع سابق ص 92.</w:t>
      </w:r>
    </w:p>
  </w:footnote>
  <w:footnote w:id="6">
    <w:p w:rsidR="00C91256" w:rsidRDefault="00C91256" w:rsidP="00C91256">
      <w:pPr>
        <w:pStyle w:val="Notedebasdepage"/>
        <w:jc w:val="lowKashida"/>
        <w:rPr>
          <w:sz w:val="24"/>
          <w:rtl/>
        </w:rPr>
      </w:pPr>
      <w:r>
        <w:rPr>
          <w:rStyle w:val="Appelnotedebasdep"/>
          <w:sz w:val="24"/>
          <w:rtl/>
        </w:rPr>
        <w:t>(1)</w:t>
      </w:r>
      <w:r>
        <w:rPr>
          <w:sz w:val="24"/>
          <w:rtl/>
        </w:rPr>
        <w:t xml:space="preserve"> راجع د. ثروت بدوي، المرجع السابق، ص 104.</w:t>
      </w:r>
    </w:p>
  </w:footnote>
  <w:footnote w:id="7">
    <w:p w:rsidR="00C91256" w:rsidRDefault="00C91256" w:rsidP="00C91256">
      <w:pPr>
        <w:pStyle w:val="Notedebasdepage"/>
        <w:jc w:val="lowKashida"/>
        <w:rPr>
          <w:sz w:val="24"/>
          <w:rtl/>
        </w:rPr>
      </w:pPr>
      <w:r>
        <w:rPr>
          <w:rStyle w:val="Appelnotedebasdep"/>
          <w:sz w:val="24"/>
          <w:rtl/>
        </w:rPr>
        <w:t>(2)</w:t>
      </w:r>
      <w:r>
        <w:rPr>
          <w:sz w:val="24"/>
          <w:rtl/>
        </w:rPr>
        <w:t xml:space="preserve"> راجع في ذلك د. مصطفى كمال وصفي </w:t>
      </w:r>
      <w:r>
        <w:rPr>
          <w:sz w:val="24"/>
        </w:rPr>
        <w:t>–</w:t>
      </w:r>
      <w:r>
        <w:rPr>
          <w:sz w:val="24"/>
          <w:rtl/>
        </w:rPr>
        <w:t xml:space="preserve"> مصنفة النظم الإسلامية ، مرجع سابق ص 437.</w:t>
      </w:r>
    </w:p>
  </w:footnote>
  <w:footnote w:id="8">
    <w:p w:rsidR="00C91256" w:rsidRDefault="00C91256" w:rsidP="00C91256">
      <w:pPr>
        <w:pStyle w:val="Notedebasdepage"/>
        <w:jc w:val="lowKashida"/>
        <w:rPr>
          <w:sz w:val="24"/>
          <w:rtl/>
        </w:rPr>
      </w:pPr>
      <w:r>
        <w:rPr>
          <w:rStyle w:val="Appelnotedebasdep"/>
          <w:sz w:val="24"/>
          <w:rtl/>
        </w:rPr>
        <w:t>(1)</w:t>
      </w:r>
      <w:r>
        <w:rPr>
          <w:sz w:val="24"/>
          <w:rtl/>
        </w:rPr>
        <w:t xml:space="preserve"> المرجع السابق، ص 44.</w:t>
      </w:r>
    </w:p>
  </w:footnote>
  <w:footnote w:id="9">
    <w:p w:rsidR="00C91256" w:rsidRDefault="00C91256" w:rsidP="00C91256">
      <w:pPr>
        <w:pStyle w:val="Notedebasdepage"/>
        <w:jc w:val="lowKashida"/>
        <w:rPr>
          <w:sz w:val="24"/>
          <w:rtl/>
        </w:rPr>
      </w:pPr>
      <w:r>
        <w:rPr>
          <w:rStyle w:val="Appelnotedebasdep"/>
          <w:sz w:val="24"/>
          <w:rtl/>
        </w:rPr>
        <w:t>(2)</w:t>
      </w:r>
      <w:r>
        <w:rPr>
          <w:sz w:val="24"/>
          <w:rtl/>
        </w:rPr>
        <w:t xml:space="preserve"> راجع د. علي جريشة </w:t>
      </w:r>
      <w:r>
        <w:rPr>
          <w:sz w:val="24"/>
        </w:rPr>
        <w:t>–</w:t>
      </w:r>
      <w:r>
        <w:rPr>
          <w:sz w:val="24"/>
          <w:rtl/>
        </w:rPr>
        <w:t xml:space="preserve"> مصادر المشروعية الإسلامية، مكتبة وهبة </w:t>
      </w:r>
      <w:r>
        <w:rPr>
          <w:rFonts w:hint="cs"/>
          <w:sz w:val="24"/>
          <w:rtl/>
        </w:rPr>
        <w:t>، القاهرة ،</w:t>
      </w:r>
      <w:r>
        <w:rPr>
          <w:sz w:val="24"/>
          <w:rtl/>
        </w:rPr>
        <w:t>الطبعة الثانية 1978م، ص3.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13F24"/>
    <w:multiLevelType w:val="singleLevel"/>
    <w:tmpl w:val="98A8F3EA"/>
    <w:lvl w:ilvl="0">
      <w:start w:val="1"/>
      <w:numFmt w:val="lowerRoman"/>
      <w:lvlText w:val="%1-"/>
      <w:lvlJc w:val="center"/>
      <w:pPr>
        <w:tabs>
          <w:tab w:val="num" w:pos="648"/>
        </w:tabs>
        <w:ind w:left="648" w:right="648"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1256"/>
    <w:rsid w:val="009B00D1"/>
    <w:rsid w:val="00C91256"/>
    <w:rsid w:val="00DE56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56"/>
    <w:pPr>
      <w:bidi/>
      <w:spacing w:after="0" w:line="240" w:lineRule="auto"/>
    </w:pPr>
    <w:rPr>
      <w:rFonts w:ascii="Times New Roman" w:eastAsia="Times New Roman" w:hAnsi="Times New Roman" w:cs="Simplified Arabic"/>
      <w:sz w:val="24"/>
      <w:szCs w:val="32"/>
      <w:lang w:val="en-US"/>
    </w:rPr>
  </w:style>
  <w:style w:type="paragraph" w:styleId="Titre1">
    <w:name w:val="heading 1"/>
    <w:basedOn w:val="Normal"/>
    <w:next w:val="Normal"/>
    <w:link w:val="Titre1Car"/>
    <w:qFormat/>
    <w:rsid w:val="00C91256"/>
    <w:pPr>
      <w:keepNext/>
      <w:bidi w:val="0"/>
      <w:jc w:val="center"/>
      <w:outlineLvl w:val="0"/>
    </w:pPr>
    <w:rPr>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91256"/>
    <w:rPr>
      <w:rFonts w:ascii="Times New Roman" w:eastAsia="Times New Roman" w:hAnsi="Times New Roman" w:cs="Simplified Arabic"/>
      <w:sz w:val="32"/>
      <w:szCs w:val="32"/>
      <w:lang w:val="en-US"/>
    </w:rPr>
  </w:style>
  <w:style w:type="character" w:styleId="Appelnotedebasdep">
    <w:name w:val="footnote reference"/>
    <w:basedOn w:val="Policepardfaut"/>
    <w:semiHidden/>
    <w:rsid w:val="00C91256"/>
    <w:rPr>
      <w:vertAlign w:val="superscript"/>
    </w:rPr>
  </w:style>
  <w:style w:type="paragraph" w:styleId="Notedebasdepage">
    <w:name w:val="footnote text"/>
    <w:basedOn w:val="Normal"/>
    <w:link w:val="NotedebasdepageCar"/>
    <w:semiHidden/>
    <w:rsid w:val="00C91256"/>
    <w:rPr>
      <w:sz w:val="20"/>
      <w:szCs w:val="24"/>
    </w:rPr>
  </w:style>
  <w:style w:type="character" w:customStyle="1" w:styleId="NotedebasdepageCar">
    <w:name w:val="Note de bas de page Car"/>
    <w:basedOn w:val="Policepardfaut"/>
    <w:link w:val="Notedebasdepage"/>
    <w:semiHidden/>
    <w:rsid w:val="00C91256"/>
    <w:rPr>
      <w:rFonts w:ascii="Times New Roman" w:eastAsia="Times New Roman" w:hAnsi="Times New Roman" w:cs="Simplified Arabic"/>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4350</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2021-01-08T21:44:00Z</dcterms:created>
  <dcterms:modified xsi:type="dcterms:W3CDTF">2021-01-08T21:45:00Z</dcterms:modified>
</cp:coreProperties>
</file>