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93" w:rsidRDefault="00787C93" w:rsidP="00787C93">
      <w:pPr>
        <w:jc w:val="both"/>
        <w:rPr>
          <w:rFonts w:asciiTheme="majorBidi" w:hAnsiTheme="majorBidi" w:cstheme="majorBidi"/>
          <w:b/>
          <w:bCs/>
          <w:sz w:val="32"/>
          <w:szCs w:val="32"/>
        </w:rPr>
      </w:pPr>
      <w:r>
        <w:rPr>
          <w:rFonts w:asciiTheme="majorBidi" w:hAnsiTheme="majorBidi" w:cstheme="majorBidi"/>
          <w:b/>
          <w:bCs/>
          <w:sz w:val="32"/>
          <w:szCs w:val="32"/>
        </w:rPr>
        <w:t>Sémantique de la référence</w:t>
      </w:r>
    </w:p>
    <w:p w:rsidR="00A4167F" w:rsidRDefault="00A4167F" w:rsidP="00787C93">
      <w:pPr>
        <w:jc w:val="both"/>
        <w:rPr>
          <w:rFonts w:asciiTheme="majorBidi" w:hAnsiTheme="majorBidi" w:cstheme="majorBidi"/>
          <w:b/>
          <w:bCs/>
          <w:sz w:val="32"/>
          <w:szCs w:val="32"/>
        </w:rPr>
      </w:pPr>
      <w:r>
        <w:rPr>
          <w:rFonts w:asciiTheme="majorBidi" w:hAnsiTheme="majorBidi" w:cstheme="majorBidi"/>
          <w:b/>
          <w:bCs/>
          <w:sz w:val="32"/>
          <w:szCs w:val="32"/>
        </w:rPr>
        <w:t>Enseignante : K. MERINE</w:t>
      </w:r>
    </w:p>
    <w:p w:rsidR="00787C93" w:rsidRDefault="00787C93" w:rsidP="00787C93">
      <w:pPr>
        <w:jc w:val="both"/>
        <w:rPr>
          <w:rFonts w:asciiTheme="majorBidi" w:hAnsiTheme="majorBidi" w:cstheme="majorBidi"/>
          <w:b/>
          <w:bCs/>
          <w:sz w:val="32"/>
          <w:szCs w:val="32"/>
        </w:rPr>
      </w:pPr>
      <w:r>
        <w:rPr>
          <w:rFonts w:asciiTheme="majorBidi" w:hAnsiTheme="majorBidi" w:cstheme="majorBidi"/>
          <w:b/>
          <w:bCs/>
          <w:sz w:val="32"/>
          <w:szCs w:val="32"/>
        </w:rPr>
        <w:t xml:space="preserve">Section </w:t>
      </w:r>
      <w:r w:rsidRPr="00074C6E">
        <w:rPr>
          <w:rFonts w:asciiTheme="majorBidi" w:hAnsiTheme="majorBidi" w:cstheme="majorBidi"/>
          <w:b/>
          <w:bCs/>
          <w:sz w:val="32"/>
          <w:szCs w:val="32"/>
        </w:rPr>
        <w:t>n</w:t>
      </w:r>
      <w:r>
        <w:rPr>
          <w:rFonts w:asciiTheme="majorBidi" w:hAnsiTheme="majorBidi" w:cstheme="majorBidi"/>
          <w:b/>
          <w:bCs/>
          <w:sz w:val="32"/>
          <w:szCs w:val="32"/>
        </w:rPr>
        <w:t xml:space="preserve">°4 : </w:t>
      </w:r>
    </w:p>
    <w:p w:rsidR="00787C93" w:rsidRPr="009A3877" w:rsidRDefault="00787C93" w:rsidP="00787C93">
      <w:pPr>
        <w:pStyle w:val="Paragraphedeliste"/>
        <w:numPr>
          <w:ilvl w:val="0"/>
          <w:numId w:val="1"/>
        </w:numPr>
        <w:jc w:val="center"/>
        <w:rPr>
          <w:rFonts w:asciiTheme="majorBidi" w:hAnsiTheme="majorBidi" w:cstheme="majorBidi"/>
          <w:b/>
          <w:bCs/>
          <w:sz w:val="32"/>
          <w:szCs w:val="32"/>
        </w:rPr>
      </w:pPr>
      <w:r w:rsidRPr="009A3877">
        <w:rPr>
          <w:rFonts w:asciiTheme="majorBidi" w:hAnsiTheme="majorBidi" w:cstheme="majorBidi"/>
          <w:b/>
          <w:bCs/>
          <w:sz w:val="32"/>
          <w:szCs w:val="32"/>
        </w:rPr>
        <w:t>Sens et référence</w:t>
      </w:r>
    </w:p>
    <w:p w:rsidR="00787C93" w:rsidRDefault="00787C93" w:rsidP="00787C93">
      <w:pPr>
        <w:jc w:val="both"/>
        <w:rPr>
          <w:rFonts w:asciiTheme="majorBidi" w:hAnsiTheme="majorBidi" w:cstheme="majorBidi"/>
          <w:sz w:val="32"/>
          <w:szCs w:val="32"/>
        </w:rPr>
      </w:pPr>
      <w:r>
        <w:rPr>
          <w:rFonts w:asciiTheme="majorBidi" w:hAnsiTheme="majorBidi" w:cstheme="majorBidi"/>
          <w:sz w:val="32"/>
          <w:szCs w:val="32"/>
        </w:rPr>
        <w:t>Pour éviter les écueils interprétatifs, la sémantique structurale se base sur la référence pour délimiter la signification d’un mot.</w:t>
      </w:r>
    </w:p>
    <w:p w:rsidR="00787C93" w:rsidRDefault="00787C93" w:rsidP="00787C93">
      <w:pPr>
        <w:jc w:val="both"/>
        <w:rPr>
          <w:rFonts w:asciiTheme="majorBidi" w:hAnsiTheme="majorBidi" w:cstheme="majorBidi"/>
          <w:sz w:val="32"/>
          <w:szCs w:val="32"/>
        </w:rPr>
      </w:pPr>
      <w:r>
        <w:rPr>
          <w:rFonts w:asciiTheme="majorBidi" w:hAnsiTheme="majorBidi" w:cstheme="majorBidi"/>
          <w:sz w:val="32"/>
          <w:szCs w:val="32"/>
        </w:rPr>
        <w:t>Dès les débuts des débats linguistiques (fin du XIXè et début du XXè siècle), le problème de la référence a été abordé différemment par les linguistes et les philosophes du langage. Saussure ayant défini le signe linguistique sur la base de deux composantes indissociables (le signifiant et le signifié) considère, dans sa description, l’aspect linguistique uniquement, les sémioticiens, sémanticiens et philosophes ont ajouté à cette dyade un troisième élément renvoyant au domaine extralinguistique (objet du monde) qui est le référent. Dans un texte ou une phrase les noms (surtout) sont employés pour désigner des objets</w:t>
      </w:r>
      <w:r>
        <w:rPr>
          <w:rStyle w:val="Appelnotedebasdep"/>
          <w:rFonts w:asciiTheme="majorBidi" w:hAnsiTheme="majorBidi" w:cstheme="majorBidi"/>
          <w:sz w:val="32"/>
          <w:szCs w:val="32"/>
        </w:rPr>
        <w:footnoteReference w:id="2"/>
      </w:r>
      <w:r>
        <w:rPr>
          <w:rFonts w:asciiTheme="majorBidi" w:hAnsiTheme="majorBidi" w:cstheme="majorBidi"/>
          <w:sz w:val="32"/>
          <w:szCs w:val="32"/>
        </w:rPr>
        <w:t xml:space="preserve"> sur lesquels porte le discours. Leur présence constitue la référence du discours.</w:t>
      </w:r>
    </w:p>
    <w:p w:rsidR="00787C93" w:rsidRPr="00EE5AE9" w:rsidRDefault="00787C93" w:rsidP="00787C93">
      <w:pPr>
        <w:jc w:val="both"/>
        <w:rPr>
          <w:rFonts w:asciiTheme="majorBidi" w:hAnsiTheme="majorBidi" w:cstheme="majorBidi"/>
          <w:sz w:val="32"/>
          <w:szCs w:val="32"/>
        </w:rPr>
      </w:pPr>
      <w:r>
        <w:rPr>
          <w:rFonts w:asciiTheme="majorBidi" w:hAnsiTheme="majorBidi" w:cstheme="majorBidi"/>
          <w:sz w:val="32"/>
          <w:szCs w:val="32"/>
        </w:rPr>
        <w:t>Les objets désignés peuvent être réels ou imaginaires mais doivent faire partie du vécu des interlocuteurs d’une même langue, d’un même code.</w:t>
      </w:r>
    </w:p>
    <w:p w:rsidR="00787C93" w:rsidRPr="007C4A84" w:rsidRDefault="00787C93" w:rsidP="00787C93">
      <w:pPr>
        <w:jc w:val="both"/>
      </w:pPr>
      <w:r>
        <w:rPr>
          <w:rFonts w:asciiTheme="majorBidi" w:hAnsiTheme="majorBidi" w:cstheme="majorBidi"/>
          <w:sz w:val="32"/>
          <w:szCs w:val="32"/>
        </w:rPr>
        <w:t>Voici un schéma rendant compte de cette triade, proposé par Ogden et Richards en 1923</w:t>
      </w:r>
    </w:p>
    <w:p w:rsidR="00787C93" w:rsidRDefault="00787C93" w:rsidP="00787C93">
      <w:pPr>
        <w:jc w:val="both"/>
      </w:pPr>
      <w:r>
        <w:t xml:space="preserve">                                                               Pensée  référence</w:t>
      </w:r>
    </w:p>
    <w:p w:rsidR="00787C93" w:rsidRDefault="00062787" w:rsidP="00787C93">
      <w:pPr>
        <w:jc w:val="both"/>
      </w:pP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61.65pt;margin-top:-11.85pt;width:68.25pt;height:40.9pt;z-index:251660288"/>
        </w:pict>
      </w:r>
    </w:p>
    <w:p w:rsidR="00787C93" w:rsidRDefault="00787C93" w:rsidP="00787C93">
      <w:pPr>
        <w:jc w:val="both"/>
      </w:pPr>
      <w:r>
        <w:t xml:space="preserve">                                      Symbole                                         Référent</w:t>
      </w:r>
    </w:p>
    <w:p w:rsidR="00787C93" w:rsidRPr="001D27A9" w:rsidRDefault="00787C93" w:rsidP="00787C93">
      <w:pPr>
        <w:spacing w:line="240" w:lineRule="auto"/>
        <w:jc w:val="both"/>
        <w:rPr>
          <w:sz w:val="20"/>
          <w:szCs w:val="20"/>
        </w:rPr>
      </w:pPr>
      <w:r w:rsidRPr="001D27A9">
        <w:rPr>
          <w:sz w:val="20"/>
          <w:szCs w:val="20"/>
        </w:rPr>
        <w:lastRenderedPageBreak/>
        <w:t xml:space="preserve">C.K. Ogden et I.A. Richards </w:t>
      </w:r>
      <w:r w:rsidRPr="00C23BE1">
        <w:rPr>
          <w:sz w:val="20"/>
          <w:szCs w:val="20"/>
        </w:rPr>
        <w:t xml:space="preserve">en 1923 dans leur ouvrage, The Meaning of Meaning </w:t>
      </w:r>
      <w:r w:rsidRPr="001D27A9">
        <w:rPr>
          <w:rStyle w:val="Appelnotedebasdep"/>
          <w:sz w:val="20"/>
          <w:szCs w:val="20"/>
          <w:lang w:val="en-US"/>
        </w:rPr>
        <w:footnoteReference w:id="3"/>
      </w:r>
      <w:r w:rsidRPr="00C23BE1">
        <w:rPr>
          <w:sz w:val="20"/>
          <w:szCs w:val="20"/>
        </w:rPr>
        <w:t>:</w:t>
      </w:r>
    </w:p>
    <w:p w:rsidR="00787C93" w:rsidRDefault="00787C93" w:rsidP="00787C93">
      <w:pPr>
        <w:autoSpaceDE w:val="0"/>
        <w:autoSpaceDN w:val="0"/>
        <w:adjustRightInd w:val="0"/>
        <w:spacing w:after="0" w:line="240" w:lineRule="auto"/>
        <w:rPr>
          <w:rFonts w:ascii="GentiumBookBasic" w:hAnsi="GentiumBookBasic" w:cs="GentiumBookBasic"/>
          <w:color w:val="000000"/>
          <w:sz w:val="20"/>
          <w:szCs w:val="20"/>
        </w:rPr>
      </w:pPr>
      <w:r w:rsidRPr="007C4A84">
        <w:rPr>
          <w:rFonts w:asciiTheme="majorBidi" w:hAnsiTheme="majorBidi" w:cstheme="majorBidi"/>
          <w:sz w:val="32"/>
          <w:szCs w:val="32"/>
        </w:rPr>
        <w:t>Ce triangle est suivi</w:t>
      </w:r>
      <w:r>
        <w:rPr>
          <w:rFonts w:asciiTheme="majorBidi" w:hAnsiTheme="majorBidi" w:cstheme="majorBidi"/>
          <w:sz w:val="32"/>
          <w:szCs w:val="32"/>
        </w:rPr>
        <w:t xml:space="preserve"> par un autre proposé par le sémanticien St Ullmann en 1957</w:t>
      </w:r>
      <w:r>
        <w:rPr>
          <w:rStyle w:val="Appelnotedebasdep"/>
          <w:rFonts w:asciiTheme="majorBidi" w:hAnsiTheme="majorBidi" w:cstheme="majorBidi"/>
          <w:sz w:val="32"/>
          <w:szCs w:val="32"/>
        </w:rPr>
        <w:footnoteReference w:id="4"/>
      </w:r>
      <w:r>
        <w:rPr>
          <w:rFonts w:asciiTheme="majorBidi" w:hAnsiTheme="majorBidi" w:cstheme="majorBidi"/>
          <w:sz w:val="32"/>
          <w:szCs w:val="32"/>
        </w:rPr>
        <w:t> </w:t>
      </w:r>
      <w:r>
        <w:rPr>
          <w:rFonts w:ascii="GentiumBookBasic-Italic" w:hAnsi="GentiumBookBasic-Italic" w:cs="GentiumBookBasic-Italic"/>
          <w:i/>
          <w:iCs/>
          <w:color w:val="000000"/>
          <w:sz w:val="20"/>
          <w:szCs w:val="20"/>
        </w:rPr>
        <w:t xml:space="preserve"> </w:t>
      </w:r>
    </w:p>
    <w:p w:rsidR="00787C93" w:rsidRDefault="00787C93" w:rsidP="00787C93">
      <w:pPr>
        <w:jc w:val="both"/>
        <w:rPr>
          <w:rFonts w:asciiTheme="majorBidi" w:hAnsiTheme="majorBidi" w:cstheme="majorBidi"/>
          <w:sz w:val="32"/>
          <w:szCs w:val="32"/>
        </w:rPr>
      </w:pPr>
    </w:p>
    <w:p w:rsidR="00787C93" w:rsidRPr="001F0D71" w:rsidRDefault="00062787" w:rsidP="00787C93">
      <w:pPr>
        <w:jc w:val="both"/>
        <w:rPr>
          <w:rFonts w:asciiTheme="majorBidi" w:hAnsiTheme="majorBidi" w:cstheme="majorBidi"/>
          <w:b/>
          <w:bCs/>
          <w:sz w:val="32"/>
          <w:szCs w:val="32"/>
        </w:rPr>
      </w:pPr>
      <w:r>
        <w:rPr>
          <w:rFonts w:asciiTheme="majorBidi" w:hAnsiTheme="majorBidi" w:cstheme="majorBidi"/>
          <w:b/>
          <w:bCs/>
          <w:noProof/>
          <w:sz w:val="32"/>
          <w:szCs w:val="32"/>
          <w:lang w:eastAsia="fr-FR"/>
        </w:rPr>
        <w:pict>
          <v:shape id="_x0000_s1027" type="#_x0000_t5" style="position:absolute;left:0;text-align:left;margin-left:173.65pt;margin-top:25pt;width:68.25pt;height:41.25pt;z-index:251661312"/>
        </w:pict>
      </w:r>
      <w:r w:rsidR="00787C93" w:rsidRPr="001F0D71">
        <w:rPr>
          <w:rFonts w:asciiTheme="majorBidi" w:hAnsiTheme="majorBidi" w:cstheme="majorBidi"/>
          <w:b/>
          <w:bCs/>
          <w:sz w:val="32"/>
          <w:szCs w:val="32"/>
        </w:rPr>
        <w:t xml:space="preserve">                                                Sense                                                      </w:t>
      </w:r>
    </w:p>
    <w:p w:rsidR="00787C93" w:rsidRPr="007C4A84" w:rsidRDefault="00787C93" w:rsidP="00787C93">
      <w:pPr>
        <w:jc w:val="both"/>
        <w:rPr>
          <w:rFonts w:asciiTheme="majorBidi" w:hAnsiTheme="majorBidi" w:cstheme="majorBidi"/>
          <w:sz w:val="32"/>
          <w:szCs w:val="32"/>
        </w:rPr>
      </w:pPr>
      <w:r>
        <w:rPr>
          <w:rFonts w:asciiTheme="majorBidi" w:hAnsiTheme="majorBidi" w:cstheme="majorBidi"/>
          <w:sz w:val="32"/>
          <w:szCs w:val="32"/>
        </w:rPr>
        <w:t xml:space="preserve">                                                                                         </w:t>
      </w:r>
    </w:p>
    <w:p w:rsidR="00787C93" w:rsidRPr="001F0D71" w:rsidRDefault="00787C93" w:rsidP="00787C93">
      <w:pPr>
        <w:jc w:val="both"/>
        <w:rPr>
          <w:b/>
          <w:bCs/>
        </w:rPr>
      </w:pPr>
      <w:r>
        <w:t xml:space="preserve">                                                      </w:t>
      </w:r>
      <w:r w:rsidRPr="001F0D71">
        <w:rPr>
          <w:b/>
          <w:bCs/>
          <w:sz w:val="32"/>
          <w:szCs w:val="32"/>
        </w:rPr>
        <w:t>Name - - - - - - - - - Thing</w:t>
      </w:r>
      <w:r>
        <w:rPr>
          <w:rStyle w:val="Appelnotedebasdep"/>
          <w:b/>
          <w:bCs/>
          <w:sz w:val="32"/>
          <w:szCs w:val="32"/>
        </w:rPr>
        <w:footnoteReference w:id="5"/>
      </w:r>
      <w:r w:rsidRPr="001F0D71">
        <w:rPr>
          <w:b/>
          <w:bCs/>
        </w:rPr>
        <w:t xml:space="preserve">                             </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sidRPr="00CB6365">
        <w:rPr>
          <w:rFonts w:asciiTheme="majorBidi" w:hAnsiTheme="majorBidi" w:cstheme="majorBidi"/>
          <w:sz w:val="32"/>
          <w:szCs w:val="32"/>
        </w:rPr>
        <w:t xml:space="preserve">    </w:t>
      </w:r>
      <w:r>
        <w:rPr>
          <w:rFonts w:asciiTheme="majorBidi" w:hAnsiTheme="majorBidi" w:cstheme="majorBidi"/>
          <w:sz w:val="32"/>
          <w:szCs w:val="32"/>
        </w:rPr>
        <w:t xml:space="preserve">A travers ce schéma, </w:t>
      </w:r>
      <w:r w:rsidRPr="00CB6365">
        <w:rPr>
          <w:rFonts w:asciiTheme="majorBidi" w:hAnsiTheme="majorBidi" w:cstheme="majorBidi"/>
          <w:sz w:val="32"/>
          <w:szCs w:val="32"/>
        </w:rPr>
        <w:t>il essaie de poser la théorie de la signification qu’il</w:t>
      </w:r>
      <w:r>
        <w:rPr>
          <w:rFonts w:asciiTheme="majorBidi" w:hAnsiTheme="majorBidi" w:cstheme="majorBidi"/>
          <w:sz w:val="36"/>
          <w:szCs w:val="36"/>
        </w:rPr>
        <w:t xml:space="preserve"> </w:t>
      </w:r>
      <w:r w:rsidRPr="00CB6365">
        <w:rPr>
          <w:rFonts w:asciiTheme="majorBidi" w:hAnsiTheme="majorBidi" w:cstheme="majorBidi"/>
          <w:sz w:val="32"/>
          <w:szCs w:val="32"/>
        </w:rPr>
        <w:t>définit ainsi</w:t>
      </w:r>
      <w:r>
        <w:rPr>
          <w:rFonts w:asciiTheme="majorBidi" w:hAnsiTheme="majorBidi" w:cstheme="majorBidi"/>
          <w:sz w:val="36"/>
          <w:szCs w:val="36"/>
        </w:rPr>
        <w:t xml:space="preserve"> : « </w:t>
      </w:r>
      <w:r w:rsidRPr="00686A07">
        <w:rPr>
          <w:rFonts w:ascii="GentiumBookBasic" w:hAnsi="GentiumBookBasic" w:cs="GentiumBookBasic"/>
          <w:sz w:val="32"/>
          <w:szCs w:val="32"/>
        </w:rPr>
        <w:t xml:space="preserve"> </w:t>
      </w:r>
      <w:r w:rsidRPr="00686A07">
        <w:rPr>
          <w:rFonts w:asciiTheme="majorBidi" w:hAnsiTheme="majorBidi" w:cstheme="majorBidi"/>
          <w:sz w:val="32"/>
          <w:szCs w:val="32"/>
        </w:rPr>
        <w:t>La signification (</w:t>
      </w:r>
      <w:r w:rsidRPr="00686A07">
        <w:rPr>
          <w:rFonts w:asciiTheme="majorBidi" w:hAnsiTheme="majorBidi" w:cstheme="majorBidi"/>
          <w:i/>
          <w:iCs/>
          <w:sz w:val="32"/>
          <w:szCs w:val="32"/>
        </w:rPr>
        <w:t>meaning</w:t>
      </w:r>
      <w:r w:rsidRPr="00686A07">
        <w:rPr>
          <w:rFonts w:asciiTheme="majorBidi" w:hAnsiTheme="majorBidi" w:cstheme="majorBidi"/>
          <w:sz w:val="32"/>
          <w:szCs w:val="32"/>
        </w:rPr>
        <w:t>) est une relation réciproque entre le nom (</w:t>
      </w:r>
      <w:r w:rsidRPr="00686A07">
        <w:rPr>
          <w:rFonts w:asciiTheme="majorBidi" w:hAnsiTheme="majorBidi" w:cstheme="majorBidi"/>
          <w:i/>
          <w:iCs/>
          <w:sz w:val="32"/>
          <w:szCs w:val="32"/>
        </w:rPr>
        <w:t>name</w:t>
      </w:r>
      <w:r w:rsidRPr="00686A07">
        <w:rPr>
          <w:rFonts w:asciiTheme="majorBidi" w:hAnsiTheme="majorBidi" w:cstheme="majorBidi"/>
          <w:sz w:val="32"/>
          <w:szCs w:val="32"/>
        </w:rPr>
        <w:t>) et le sens (</w:t>
      </w:r>
      <w:r w:rsidRPr="00686A07">
        <w:rPr>
          <w:rFonts w:asciiTheme="majorBidi" w:hAnsiTheme="majorBidi" w:cstheme="majorBidi"/>
          <w:i/>
          <w:iCs/>
          <w:sz w:val="32"/>
          <w:szCs w:val="32"/>
        </w:rPr>
        <w:t>sensé</w:t>
      </w:r>
      <w:r w:rsidRPr="00686A07">
        <w:rPr>
          <w:rFonts w:asciiTheme="majorBidi" w:hAnsiTheme="majorBidi" w:cstheme="majorBidi"/>
          <w:sz w:val="32"/>
          <w:szCs w:val="32"/>
        </w:rPr>
        <w:t>), qui leur permet de s’évoquer mutuellement</w:t>
      </w:r>
      <w:r w:rsidRPr="00686A07">
        <w:rPr>
          <w:rFonts w:ascii="GentiumBookBasic" w:hAnsi="GentiumBookBasic" w:cs="GentiumBookBasic"/>
          <w:sz w:val="32"/>
          <w:szCs w:val="32"/>
        </w:rPr>
        <w:t xml:space="preserve"> »</w:t>
      </w:r>
      <w:r>
        <w:rPr>
          <w:rStyle w:val="Appelnotedebasdep"/>
          <w:rFonts w:ascii="GentiumBookBasic" w:hAnsi="GentiumBookBasic" w:cs="GentiumBookBasic"/>
          <w:sz w:val="32"/>
          <w:szCs w:val="32"/>
        </w:rPr>
        <w:footnoteReference w:id="6"/>
      </w:r>
      <w:r w:rsidRPr="00686A07">
        <w:rPr>
          <w:rFonts w:ascii="GentiumBookBasic" w:hAnsi="GentiumBookBasic" w:cs="GentiumBookBasic"/>
          <w:sz w:val="32"/>
          <w:szCs w:val="32"/>
        </w:rPr>
        <w:t xml:space="preserve">. </w:t>
      </w:r>
      <w:r>
        <w:rPr>
          <w:rFonts w:asciiTheme="majorBidi" w:hAnsiTheme="majorBidi" w:cstheme="majorBidi"/>
          <w:sz w:val="32"/>
          <w:szCs w:val="32"/>
        </w:rPr>
        <w:t xml:space="preserve"> Il met ainsi en évidence</w:t>
      </w:r>
      <w:r w:rsidRPr="00686A07">
        <w:rPr>
          <w:rFonts w:asciiTheme="majorBidi" w:hAnsiTheme="majorBidi" w:cstheme="majorBidi"/>
          <w:sz w:val="32"/>
          <w:szCs w:val="32"/>
        </w:rPr>
        <w:t xml:space="preserve"> </w:t>
      </w:r>
      <w:r>
        <w:rPr>
          <w:rFonts w:asciiTheme="majorBidi" w:hAnsiTheme="majorBidi" w:cstheme="majorBidi"/>
          <w:sz w:val="32"/>
          <w:szCs w:val="32"/>
        </w:rPr>
        <w:t>la relation qui unit le nom (name) et l’objet (thing) qu’il désigne et qui n’est autre que le référent. Pour le philosophe du langage Gottlob Frege</w:t>
      </w:r>
      <w:r>
        <w:rPr>
          <w:rStyle w:val="Appelnotedebasdep"/>
          <w:rFonts w:asciiTheme="majorBidi" w:hAnsiTheme="majorBidi" w:cstheme="majorBidi"/>
          <w:sz w:val="32"/>
          <w:szCs w:val="32"/>
        </w:rPr>
        <w:footnoteReference w:id="7"/>
      </w:r>
      <w:r>
        <w:rPr>
          <w:rFonts w:asciiTheme="majorBidi" w:hAnsiTheme="majorBidi" w:cstheme="majorBidi"/>
          <w:sz w:val="32"/>
          <w:szCs w:val="32"/>
        </w:rPr>
        <w:t>, la signification s’explique à partir de deux composantes qui sont le sens (</w:t>
      </w:r>
      <w:r w:rsidRPr="009C0523">
        <w:rPr>
          <w:rFonts w:asciiTheme="majorBidi" w:hAnsiTheme="majorBidi" w:cstheme="majorBidi"/>
          <w:i/>
          <w:iCs/>
          <w:sz w:val="32"/>
          <w:szCs w:val="32"/>
        </w:rPr>
        <w:t>sinn</w:t>
      </w:r>
      <w:r>
        <w:rPr>
          <w:rFonts w:asciiTheme="majorBidi" w:hAnsiTheme="majorBidi" w:cstheme="majorBidi"/>
          <w:sz w:val="32"/>
          <w:szCs w:val="32"/>
        </w:rPr>
        <w:t>) et la référence (</w:t>
      </w:r>
      <w:r w:rsidRPr="009C0523">
        <w:rPr>
          <w:rFonts w:asciiTheme="majorBidi" w:hAnsiTheme="majorBidi" w:cstheme="majorBidi"/>
          <w:i/>
          <w:iCs/>
          <w:sz w:val="32"/>
          <w:szCs w:val="32"/>
        </w:rPr>
        <w:t>bedeutung</w:t>
      </w:r>
      <w:r>
        <w:rPr>
          <w:rFonts w:asciiTheme="majorBidi" w:hAnsiTheme="majorBidi" w:cstheme="majorBidi"/>
          <w:sz w:val="32"/>
          <w:szCs w:val="32"/>
        </w:rPr>
        <w:t>) à laquelle ce signe renvoie.</w:t>
      </w:r>
      <w:r w:rsidRPr="00686A07">
        <w:rPr>
          <w:rFonts w:asciiTheme="majorBidi" w:hAnsiTheme="majorBidi" w:cstheme="majorBidi"/>
          <w:sz w:val="32"/>
          <w:szCs w:val="32"/>
        </w:rPr>
        <w:t xml:space="preserve"> </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p>
    <w:p w:rsidR="00787C93" w:rsidRPr="009C0523" w:rsidRDefault="00787C93" w:rsidP="00787C93">
      <w:pPr>
        <w:autoSpaceDE w:val="0"/>
        <w:autoSpaceDN w:val="0"/>
        <w:adjustRightInd w:val="0"/>
        <w:spacing w:after="0" w:line="240" w:lineRule="auto"/>
        <w:jc w:val="both"/>
        <w:rPr>
          <w:rFonts w:ascii="GentiumBookBasic" w:hAnsi="GentiumBookBasic" w:cs="GentiumBookBasic"/>
          <w:b/>
          <w:bCs/>
          <w:sz w:val="32"/>
          <w:szCs w:val="32"/>
        </w:rPr>
      </w:pPr>
      <w:r>
        <w:rPr>
          <w:rFonts w:asciiTheme="majorBidi" w:hAnsiTheme="majorBidi" w:cstheme="majorBidi"/>
          <w:sz w:val="32"/>
          <w:szCs w:val="32"/>
        </w:rPr>
        <w:t xml:space="preserve"> </w:t>
      </w:r>
      <w:r w:rsidRPr="009C0523">
        <w:rPr>
          <w:rFonts w:asciiTheme="majorBidi" w:hAnsiTheme="majorBidi" w:cstheme="majorBidi"/>
          <w:b/>
          <w:bCs/>
          <w:sz w:val="32"/>
          <w:szCs w:val="32"/>
        </w:rPr>
        <w:t xml:space="preserve">Signification = Sens + Référence                                                          </w:t>
      </w:r>
    </w:p>
    <w:p w:rsidR="00787C93" w:rsidRPr="009C0523" w:rsidRDefault="00787C93" w:rsidP="00787C93">
      <w:pPr>
        <w:jc w:val="both"/>
        <w:rPr>
          <w:b/>
          <w:bCs/>
        </w:rPr>
      </w:pPr>
    </w:p>
    <w:p w:rsidR="00787C93" w:rsidRDefault="00787C93" w:rsidP="00787C93">
      <w:pPr>
        <w:autoSpaceDE w:val="0"/>
        <w:autoSpaceDN w:val="0"/>
        <w:adjustRightInd w:val="0"/>
        <w:spacing w:after="0" w:line="240" w:lineRule="auto"/>
        <w:jc w:val="both"/>
        <w:rPr>
          <w:rFonts w:asciiTheme="majorBidi" w:hAnsiTheme="majorBidi" w:cstheme="majorBidi"/>
          <w:i/>
          <w:iCs/>
          <w:sz w:val="32"/>
          <w:szCs w:val="32"/>
        </w:rPr>
      </w:pPr>
      <w:r w:rsidRPr="006C4012">
        <w:rPr>
          <w:rFonts w:asciiTheme="majorBidi" w:hAnsiTheme="majorBidi" w:cstheme="majorBidi"/>
          <w:sz w:val="32"/>
          <w:szCs w:val="32"/>
        </w:rPr>
        <w:t>Il explique le rapport de ce tryptique</w:t>
      </w:r>
      <w:r>
        <w:rPr>
          <w:rFonts w:asciiTheme="majorBidi" w:hAnsiTheme="majorBidi" w:cstheme="majorBidi"/>
          <w:sz w:val="32"/>
          <w:szCs w:val="32"/>
        </w:rPr>
        <w:t xml:space="preserve"> dans ce passage : «</w:t>
      </w:r>
      <w:r>
        <w:rPr>
          <w:rFonts w:ascii="GentiumBookBasic" w:hAnsi="GentiumBookBasic" w:cs="GentiumBookBasic"/>
          <w:sz w:val="20"/>
          <w:szCs w:val="20"/>
        </w:rPr>
        <w:t xml:space="preserve"> </w:t>
      </w:r>
      <w:r w:rsidRPr="006C4012">
        <w:rPr>
          <w:rFonts w:asciiTheme="majorBidi" w:hAnsiTheme="majorBidi" w:cstheme="majorBidi"/>
          <w:sz w:val="32"/>
          <w:szCs w:val="32"/>
        </w:rPr>
        <w:t>Un nom propre (mot, signe, combinaison de signes, expression) exprime son sens, réfère ou désigne sa référence. Avec le signe, nous exprimons le sens du nom propre et nous désignons sa référence</w:t>
      </w:r>
      <w:r>
        <w:rPr>
          <w:rFonts w:asciiTheme="majorBidi" w:hAnsiTheme="majorBidi" w:cstheme="majorBidi"/>
          <w:sz w:val="32"/>
          <w:szCs w:val="32"/>
        </w:rPr>
        <w:t> »</w:t>
      </w:r>
      <w:r>
        <w:rPr>
          <w:rStyle w:val="Appelnotedebasdep"/>
          <w:rFonts w:asciiTheme="majorBidi" w:hAnsiTheme="majorBidi" w:cstheme="majorBidi"/>
          <w:sz w:val="32"/>
          <w:szCs w:val="32"/>
        </w:rPr>
        <w:footnoteReference w:id="8"/>
      </w:r>
      <w:r>
        <w:rPr>
          <w:rFonts w:asciiTheme="majorBidi" w:hAnsiTheme="majorBidi" w:cstheme="majorBidi"/>
          <w:sz w:val="32"/>
          <w:szCs w:val="32"/>
        </w:rPr>
        <w:t xml:space="preserve">. On remarque que le signe devient </w:t>
      </w:r>
      <w:r w:rsidRPr="00540475">
        <w:rPr>
          <w:rFonts w:asciiTheme="majorBidi" w:hAnsiTheme="majorBidi" w:cstheme="majorBidi"/>
          <w:i/>
          <w:iCs/>
          <w:sz w:val="32"/>
          <w:szCs w:val="32"/>
        </w:rPr>
        <w:t>nom propre</w:t>
      </w:r>
      <w:r>
        <w:rPr>
          <w:rFonts w:asciiTheme="majorBidi" w:hAnsiTheme="majorBidi" w:cstheme="majorBidi"/>
          <w:i/>
          <w:iCs/>
          <w:sz w:val="32"/>
          <w:szCs w:val="32"/>
        </w:rPr>
        <w:t xml:space="preserve"> </w:t>
      </w:r>
      <w:r>
        <w:rPr>
          <w:rFonts w:asciiTheme="majorBidi" w:hAnsiTheme="majorBidi" w:cstheme="majorBidi"/>
          <w:sz w:val="32"/>
          <w:szCs w:val="32"/>
        </w:rPr>
        <w:t xml:space="preserve">c'est-à-dire un nom désignant une référence, ex : - </w:t>
      </w:r>
      <w:r w:rsidRPr="009231A4">
        <w:rPr>
          <w:rFonts w:asciiTheme="majorBidi" w:hAnsiTheme="majorBidi" w:cstheme="majorBidi"/>
          <w:i/>
          <w:iCs/>
          <w:sz w:val="32"/>
          <w:szCs w:val="32"/>
        </w:rPr>
        <w:t>table</w:t>
      </w:r>
      <w:r w:rsidRPr="009231A4">
        <w:rPr>
          <w:rFonts w:asciiTheme="majorBidi" w:hAnsiTheme="majorBidi" w:cstheme="majorBidi"/>
          <w:i/>
          <w:iCs/>
          <w:sz w:val="32"/>
          <w:szCs w:val="32"/>
        </w:rPr>
        <w:sym w:font="Wingdings" w:char="F0E0"/>
      </w:r>
      <w:r>
        <w:rPr>
          <w:rFonts w:asciiTheme="majorBidi" w:hAnsiTheme="majorBidi" w:cstheme="majorBidi"/>
          <w:i/>
          <w:iCs/>
          <w:sz w:val="32"/>
          <w:szCs w:val="32"/>
        </w:rPr>
        <w:t xml:space="preserve"> signe</w:t>
      </w:r>
    </w:p>
    <w:p w:rsidR="00787C93" w:rsidRDefault="00787C93" w:rsidP="00787C93">
      <w:pPr>
        <w:pStyle w:val="Paragraphedeliste"/>
        <w:numPr>
          <w:ilvl w:val="0"/>
          <w:numId w:val="2"/>
        </w:numPr>
        <w:autoSpaceDE w:val="0"/>
        <w:autoSpaceDN w:val="0"/>
        <w:adjustRightInd w:val="0"/>
        <w:spacing w:after="0" w:line="240" w:lineRule="auto"/>
        <w:jc w:val="both"/>
        <w:rPr>
          <w:rFonts w:asciiTheme="majorBidi" w:hAnsiTheme="majorBidi" w:cstheme="majorBidi"/>
          <w:sz w:val="32"/>
          <w:szCs w:val="32"/>
        </w:rPr>
      </w:pPr>
      <w:r w:rsidRPr="009231A4">
        <w:rPr>
          <w:rFonts w:asciiTheme="majorBidi" w:hAnsiTheme="majorBidi" w:cstheme="majorBidi"/>
          <w:i/>
          <w:iCs/>
          <w:sz w:val="32"/>
          <w:szCs w:val="32"/>
        </w:rPr>
        <w:t xml:space="preserve">la </w:t>
      </w:r>
      <w:r w:rsidRPr="009231A4">
        <w:rPr>
          <w:rFonts w:asciiTheme="majorBidi" w:hAnsiTheme="majorBidi" w:cstheme="majorBidi"/>
          <w:b/>
          <w:bCs/>
          <w:i/>
          <w:iCs/>
          <w:sz w:val="32"/>
          <w:szCs w:val="32"/>
        </w:rPr>
        <w:t>table</w:t>
      </w:r>
      <w:r w:rsidRPr="009231A4">
        <w:rPr>
          <w:rFonts w:asciiTheme="majorBidi" w:hAnsiTheme="majorBidi" w:cstheme="majorBidi"/>
          <w:i/>
          <w:iCs/>
          <w:sz w:val="32"/>
          <w:szCs w:val="32"/>
        </w:rPr>
        <w:t xml:space="preserve"> de la cuisine est ronde</w:t>
      </w:r>
      <w:r w:rsidRPr="009231A4">
        <w:rPr>
          <w:i/>
          <w:iCs/>
        </w:rPr>
        <w:sym w:font="Wingdings" w:char="F0E0"/>
      </w:r>
      <w:r w:rsidRPr="009231A4">
        <w:rPr>
          <w:rFonts w:asciiTheme="majorBidi" w:hAnsiTheme="majorBidi" w:cstheme="majorBidi"/>
          <w:i/>
          <w:iCs/>
          <w:sz w:val="32"/>
          <w:szCs w:val="32"/>
        </w:rPr>
        <w:t xml:space="preserve"> </w:t>
      </w:r>
      <w:r w:rsidRPr="009231A4">
        <w:rPr>
          <w:rFonts w:asciiTheme="majorBidi" w:hAnsiTheme="majorBidi" w:cstheme="majorBidi"/>
          <w:sz w:val="32"/>
          <w:szCs w:val="32"/>
        </w:rPr>
        <w:t xml:space="preserve">renvoie à </w:t>
      </w:r>
      <w:r w:rsidRPr="009864D4">
        <w:rPr>
          <w:rFonts w:asciiTheme="majorBidi" w:hAnsiTheme="majorBidi" w:cstheme="majorBidi"/>
          <w:b/>
          <w:bCs/>
          <w:sz w:val="32"/>
          <w:szCs w:val="32"/>
        </w:rPr>
        <w:t>une référence</w:t>
      </w:r>
      <w:r w:rsidRPr="009231A4">
        <w:rPr>
          <w:rFonts w:asciiTheme="majorBidi" w:hAnsiTheme="majorBidi" w:cstheme="majorBidi"/>
          <w:sz w:val="32"/>
          <w:szCs w:val="32"/>
        </w:rPr>
        <w:t xml:space="preserve"> </w:t>
      </w:r>
      <w:r>
        <w:rPr>
          <w:rFonts w:asciiTheme="majorBidi" w:hAnsiTheme="majorBidi" w:cstheme="majorBidi"/>
          <w:sz w:val="32"/>
          <w:szCs w:val="32"/>
        </w:rPr>
        <w:t xml:space="preserve">(table de la cuisine) dont le </w:t>
      </w:r>
      <w:r w:rsidRPr="009864D4">
        <w:rPr>
          <w:rFonts w:asciiTheme="majorBidi" w:hAnsiTheme="majorBidi" w:cstheme="majorBidi"/>
          <w:b/>
          <w:bCs/>
          <w:sz w:val="32"/>
          <w:szCs w:val="32"/>
        </w:rPr>
        <w:t>sens</w:t>
      </w:r>
      <w:r>
        <w:rPr>
          <w:rFonts w:asciiTheme="majorBidi" w:hAnsiTheme="majorBidi" w:cstheme="majorBidi"/>
          <w:sz w:val="32"/>
          <w:szCs w:val="32"/>
        </w:rPr>
        <w:t xml:space="preserve"> est </w:t>
      </w:r>
      <w:r w:rsidRPr="009231A4">
        <w:rPr>
          <w:rFonts w:asciiTheme="majorBidi" w:hAnsiTheme="majorBidi" w:cstheme="majorBidi"/>
          <w:sz w:val="32"/>
          <w:szCs w:val="32"/>
        </w:rPr>
        <w:t>p</w:t>
      </w:r>
      <w:r>
        <w:rPr>
          <w:rFonts w:asciiTheme="majorBidi" w:hAnsiTheme="majorBidi" w:cstheme="majorBidi"/>
          <w:sz w:val="32"/>
          <w:szCs w:val="32"/>
        </w:rPr>
        <w:t>récisé par le contexte textuel (</w:t>
      </w:r>
      <w:r>
        <w:rPr>
          <w:rFonts w:asciiTheme="majorBidi" w:hAnsiTheme="majorBidi" w:cstheme="majorBidi"/>
          <w:i/>
          <w:iCs/>
          <w:sz w:val="32"/>
          <w:szCs w:val="32"/>
        </w:rPr>
        <w:t xml:space="preserve">est </w:t>
      </w:r>
      <w:r>
        <w:rPr>
          <w:rFonts w:asciiTheme="majorBidi" w:hAnsiTheme="majorBidi" w:cstheme="majorBidi"/>
          <w:i/>
          <w:iCs/>
          <w:sz w:val="32"/>
          <w:szCs w:val="32"/>
        </w:rPr>
        <w:lastRenderedPageBreak/>
        <w:t>ronde</w:t>
      </w:r>
      <w:r>
        <w:rPr>
          <w:rFonts w:asciiTheme="majorBidi" w:hAnsiTheme="majorBidi" w:cstheme="majorBidi"/>
          <w:sz w:val="32"/>
          <w:szCs w:val="32"/>
        </w:rPr>
        <w:t xml:space="preserve">) ; le tout contribue à donner </w:t>
      </w:r>
      <w:r w:rsidRPr="009864D4">
        <w:rPr>
          <w:rFonts w:asciiTheme="majorBidi" w:hAnsiTheme="majorBidi" w:cstheme="majorBidi"/>
          <w:b/>
          <w:bCs/>
          <w:sz w:val="32"/>
          <w:szCs w:val="32"/>
        </w:rPr>
        <w:t>la signification</w:t>
      </w:r>
      <w:r>
        <w:rPr>
          <w:rFonts w:asciiTheme="majorBidi" w:hAnsiTheme="majorBidi" w:cstheme="majorBidi"/>
          <w:sz w:val="32"/>
          <w:szCs w:val="32"/>
        </w:rPr>
        <w:t xml:space="preserve"> au mot « table » dans cette phrase.</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Quant aux linguistes, ils présentent des définitions beaucoup plus simplifiées et g</w:t>
      </w:r>
      <w:r w:rsidRPr="009A3877">
        <w:rPr>
          <w:rFonts w:asciiTheme="majorBidi" w:hAnsiTheme="majorBidi" w:cstheme="majorBidi"/>
          <w:i/>
          <w:iCs/>
          <w:sz w:val="32"/>
          <w:szCs w:val="32"/>
        </w:rPr>
        <w:t>énéralisantes</w:t>
      </w:r>
      <w:r>
        <w:rPr>
          <w:rFonts w:asciiTheme="majorBidi" w:hAnsiTheme="majorBidi" w:cstheme="majorBidi"/>
          <w:sz w:val="32"/>
          <w:szCs w:val="32"/>
        </w:rPr>
        <w:t xml:space="preserve"> en même temps, ainsi pour J. Lyons (…) « la notion de référence implique une existence ou une réalité, soit physique , soit fictive ou abstraite »</w:t>
      </w:r>
      <w:r>
        <w:rPr>
          <w:rStyle w:val="Appelnotedebasdep"/>
          <w:rFonts w:asciiTheme="majorBidi" w:hAnsiTheme="majorBidi" w:cstheme="majorBidi"/>
          <w:sz w:val="32"/>
          <w:szCs w:val="32"/>
        </w:rPr>
        <w:footnoteReference w:id="9"/>
      </w:r>
      <w:r>
        <w:rPr>
          <w:rFonts w:asciiTheme="majorBidi" w:hAnsiTheme="majorBidi" w:cstheme="majorBidi"/>
          <w:sz w:val="32"/>
          <w:szCs w:val="32"/>
        </w:rPr>
        <w:t>, de même D. Wunderlich (…) considère que la référence est un « renvoi à une réalité, qu’il s’agisse d’un univers perceptible ou seulement fictif/anticipé »</w:t>
      </w:r>
      <w:r>
        <w:rPr>
          <w:rStyle w:val="Appelnotedebasdep"/>
          <w:rFonts w:asciiTheme="majorBidi" w:hAnsiTheme="majorBidi" w:cstheme="majorBidi"/>
          <w:sz w:val="32"/>
          <w:szCs w:val="32"/>
        </w:rPr>
        <w:footnoteReference w:id="10"/>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sz w:val="32"/>
          <w:szCs w:val="32"/>
        </w:rPr>
      </w:pPr>
      <w:r>
        <w:rPr>
          <w:rFonts w:asciiTheme="majorBidi" w:hAnsiTheme="majorBidi" w:cstheme="majorBidi"/>
          <w:sz w:val="32"/>
          <w:szCs w:val="32"/>
        </w:rPr>
        <w:t xml:space="preserve">Les sémanticiens, influencés par les philosophes du langage, ajoutent à la conception des linguistes, la notion de représentation, considérant que la « référence est le produit de la représentation dans l’univers du discours » (A. Rousseau, </w:t>
      </w:r>
      <w:r w:rsidRPr="000E1F11">
        <w:rPr>
          <w:rFonts w:asciiTheme="majorBidi" w:hAnsiTheme="majorBidi" w:cstheme="majorBidi"/>
          <w:i/>
          <w:iCs/>
          <w:sz w:val="32"/>
          <w:szCs w:val="32"/>
        </w:rPr>
        <w:t>op.cit</w:t>
      </w:r>
      <w:r>
        <w:rPr>
          <w:rFonts w:asciiTheme="majorBidi" w:hAnsiTheme="majorBidi" w:cstheme="majorBidi"/>
          <w:sz w:val="32"/>
          <w:szCs w:val="32"/>
        </w:rPr>
        <w:t>). Ils jugent que le langage « </w:t>
      </w:r>
      <w:r w:rsidRPr="002F4FAB">
        <w:rPr>
          <w:sz w:val="32"/>
          <w:szCs w:val="32"/>
        </w:rPr>
        <w:t>constitue bien un monde en soi, un univers intermédiaire entre</w:t>
      </w:r>
      <w:r>
        <w:rPr>
          <w:sz w:val="32"/>
          <w:szCs w:val="32"/>
        </w:rPr>
        <w:t xml:space="preserve"> l’homme et le monde extérieur</w:t>
      </w:r>
      <w:r w:rsidRPr="002F4FAB">
        <w:rPr>
          <w:sz w:val="32"/>
          <w:szCs w:val="32"/>
        </w:rPr>
        <w:t>.</w:t>
      </w:r>
      <w:r>
        <w:rPr>
          <w:sz w:val="32"/>
          <w:szCs w:val="32"/>
        </w:rPr>
        <w:t>» (ibid). Selon ce même auteur, cette fonction médiatrice du langage lui permet (au langage) de représenter le monde et d’agir sur lui.</w:t>
      </w:r>
    </w:p>
    <w:p w:rsidR="00787C93" w:rsidRDefault="00787C93" w:rsidP="00787C93">
      <w:pPr>
        <w:autoSpaceDE w:val="0"/>
        <w:autoSpaceDN w:val="0"/>
        <w:adjustRightInd w:val="0"/>
        <w:spacing w:after="0" w:line="240" w:lineRule="auto"/>
        <w:jc w:val="both"/>
        <w:rPr>
          <w:sz w:val="32"/>
          <w:szCs w:val="32"/>
        </w:rPr>
      </w:pPr>
    </w:p>
    <w:p w:rsidR="00787C93" w:rsidRPr="00955E4C" w:rsidRDefault="00787C93" w:rsidP="00787C93">
      <w:pPr>
        <w:pStyle w:val="Paragraphedeliste"/>
        <w:numPr>
          <w:ilvl w:val="0"/>
          <w:numId w:val="1"/>
        </w:numPr>
        <w:autoSpaceDE w:val="0"/>
        <w:autoSpaceDN w:val="0"/>
        <w:adjustRightInd w:val="0"/>
        <w:spacing w:after="0" w:line="240" w:lineRule="auto"/>
        <w:jc w:val="both"/>
        <w:rPr>
          <w:b/>
          <w:bCs/>
          <w:sz w:val="32"/>
          <w:szCs w:val="32"/>
        </w:rPr>
      </w:pPr>
      <w:r w:rsidRPr="00955E4C">
        <w:rPr>
          <w:b/>
          <w:bCs/>
          <w:sz w:val="32"/>
          <w:szCs w:val="32"/>
        </w:rPr>
        <w:t>Sens, référence et représentations </w:t>
      </w:r>
    </w:p>
    <w:p w:rsidR="00787C93" w:rsidRDefault="00787C93" w:rsidP="00787C93">
      <w:pPr>
        <w:autoSpaceDE w:val="0"/>
        <w:autoSpaceDN w:val="0"/>
        <w:adjustRightInd w:val="0"/>
        <w:spacing w:after="0" w:line="240" w:lineRule="auto"/>
        <w:jc w:val="both"/>
        <w:rPr>
          <w:sz w:val="32"/>
          <w:szCs w:val="32"/>
        </w:rPr>
      </w:pPr>
      <w:r w:rsidRPr="009864D4">
        <w:rPr>
          <w:sz w:val="32"/>
          <w:szCs w:val="32"/>
        </w:rPr>
        <w:t>Les linguistes</w:t>
      </w:r>
      <w:r>
        <w:rPr>
          <w:sz w:val="32"/>
          <w:szCs w:val="32"/>
        </w:rPr>
        <w:t xml:space="preserve"> vont relier le phénomène des représentations à celui du discours, on parlera ainsi </w:t>
      </w:r>
      <w:r w:rsidRPr="009864D4">
        <w:rPr>
          <w:i/>
          <w:iCs/>
          <w:sz w:val="32"/>
          <w:szCs w:val="32"/>
        </w:rPr>
        <w:t>des représentations discursives</w:t>
      </w:r>
      <w:r>
        <w:rPr>
          <w:i/>
          <w:iCs/>
          <w:sz w:val="32"/>
          <w:szCs w:val="32"/>
        </w:rPr>
        <w:t xml:space="preserve"> </w:t>
      </w:r>
      <w:r w:rsidRPr="009864D4">
        <w:rPr>
          <w:sz w:val="32"/>
          <w:szCs w:val="32"/>
        </w:rPr>
        <w:t>ou</w:t>
      </w:r>
      <w:r>
        <w:rPr>
          <w:i/>
          <w:iCs/>
          <w:sz w:val="32"/>
          <w:szCs w:val="32"/>
        </w:rPr>
        <w:t xml:space="preserve"> de la linguistique des représentations discursives</w:t>
      </w:r>
      <w:r>
        <w:rPr>
          <w:rStyle w:val="Appelnotedebasdep"/>
          <w:i/>
          <w:iCs/>
          <w:sz w:val="32"/>
          <w:szCs w:val="32"/>
        </w:rPr>
        <w:footnoteReference w:id="11"/>
      </w:r>
      <w:r>
        <w:rPr>
          <w:i/>
          <w:iCs/>
          <w:sz w:val="32"/>
          <w:szCs w:val="32"/>
        </w:rPr>
        <w:t xml:space="preserve">. </w:t>
      </w:r>
      <w:r>
        <w:rPr>
          <w:sz w:val="32"/>
          <w:szCs w:val="32"/>
        </w:rPr>
        <w:t>Ils justifient cela par le fait que ces représentations qui façonnent le sens d’un mot mais surtout d’un énoncé, sont identifiables au niveau de la langue actualisée en discours.</w:t>
      </w:r>
    </w:p>
    <w:p w:rsidR="00787C93" w:rsidRDefault="00787C93" w:rsidP="00787C93">
      <w:pPr>
        <w:autoSpaceDE w:val="0"/>
        <w:autoSpaceDN w:val="0"/>
        <w:adjustRightInd w:val="0"/>
        <w:spacing w:after="0" w:line="240" w:lineRule="auto"/>
        <w:jc w:val="both"/>
        <w:rPr>
          <w:sz w:val="32"/>
          <w:szCs w:val="32"/>
        </w:rPr>
      </w:pPr>
      <w:r w:rsidRPr="00E442C1">
        <w:rPr>
          <w:b/>
          <w:bCs/>
          <w:sz w:val="32"/>
          <w:szCs w:val="32"/>
        </w:rPr>
        <w:t>Exemple 1</w:t>
      </w:r>
      <w:r>
        <w:rPr>
          <w:sz w:val="32"/>
          <w:szCs w:val="32"/>
        </w:rPr>
        <w:t>.</w:t>
      </w:r>
    </w:p>
    <w:p w:rsidR="00787C93" w:rsidRDefault="00787C93" w:rsidP="00787C93">
      <w:pPr>
        <w:autoSpaceDE w:val="0"/>
        <w:autoSpaceDN w:val="0"/>
        <w:adjustRightInd w:val="0"/>
        <w:spacing w:after="0" w:line="240" w:lineRule="auto"/>
        <w:jc w:val="both"/>
        <w:rPr>
          <w:sz w:val="32"/>
          <w:szCs w:val="32"/>
        </w:rPr>
      </w:pPr>
      <w:r>
        <w:rPr>
          <w:sz w:val="32"/>
          <w:szCs w:val="32"/>
        </w:rPr>
        <w:t xml:space="preserve">Si on demande à un américain ce que représente pour lui le mot « Afrique », il faut s’attendre à ce qu’il dise : « la jungle, les éléphants, les hommes noirs, les lions… ». Ces représentations se basent sur ses connaissances encyclopédiques de l’Afrique. Sa </w:t>
      </w:r>
      <w:r>
        <w:rPr>
          <w:sz w:val="32"/>
          <w:szCs w:val="32"/>
        </w:rPr>
        <w:lastRenderedPageBreak/>
        <w:t>réponse, sans être fausse n’est pas totalement juste, on dit qu’elle retrace une partie de la réalité (selon la théorie de Kamp H., 1981)</w:t>
      </w:r>
    </w:p>
    <w:p w:rsidR="00787C93" w:rsidRDefault="00787C93" w:rsidP="00787C93">
      <w:pPr>
        <w:autoSpaceDE w:val="0"/>
        <w:autoSpaceDN w:val="0"/>
        <w:adjustRightInd w:val="0"/>
        <w:spacing w:after="0" w:line="240" w:lineRule="auto"/>
        <w:jc w:val="both"/>
        <w:rPr>
          <w:sz w:val="32"/>
          <w:szCs w:val="32"/>
        </w:rPr>
      </w:pPr>
      <w:r>
        <w:rPr>
          <w:sz w:val="32"/>
          <w:szCs w:val="32"/>
        </w:rPr>
        <w:t>Mais si sa réponse est la suivante : « maladie, famine, sous développement ». Les représentations sont construites sur des clichés le plus souvent injustifiés, surmédiatisés pour servir des idéologies particulières. Il suffit à cette américain de se déplacer dans plusieurs régions du continent africain pour se rendre compte que ses représentations étaient construites sur des discours qui n’ont rien avec la réalité ou qui occulte beaucoup d’asprcts réels de l’Afrique pour focaliser en les grossissant sur des aspects négatifs que l’on peut trouver partout dans le monde.</w:t>
      </w:r>
    </w:p>
    <w:p w:rsidR="00787C93" w:rsidRDefault="00787C93" w:rsidP="00787C93">
      <w:pPr>
        <w:autoSpaceDE w:val="0"/>
        <w:autoSpaceDN w:val="0"/>
        <w:adjustRightInd w:val="0"/>
        <w:spacing w:after="0" w:line="240" w:lineRule="auto"/>
        <w:jc w:val="both"/>
        <w:rPr>
          <w:sz w:val="32"/>
          <w:szCs w:val="32"/>
        </w:rPr>
      </w:pPr>
    </w:p>
    <w:p w:rsidR="00787C93" w:rsidRDefault="00787C93" w:rsidP="00787C93">
      <w:pPr>
        <w:autoSpaceDE w:val="0"/>
        <w:autoSpaceDN w:val="0"/>
        <w:adjustRightInd w:val="0"/>
        <w:spacing w:after="0" w:line="240" w:lineRule="auto"/>
        <w:jc w:val="both"/>
        <w:rPr>
          <w:b/>
          <w:bCs/>
          <w:sz w:val="32"/>
          <w:szCs w:val="32"/>
        </w:rPr>
      </w:pPr>
      <w:r w:rsidRPr="005A6AFC">
        <w:rPr>
          <w:b/>
          <w:bCs/>
          <w:sz w:val="32"/>
          <w:szCs w:val="32"/>
        </w:rPr>
        <w:t>Exemple 2</w:t>
      </w:r>
    </w:p>
    <w:p w:rsidR="00787C93" w:rsidRDefault="00787C93" w:rsidP="00787C93">
      <w:pPr>
        <w:autoSpaceDE w:val="0"/>
        <w:autoSpaceDN w:val="0"/>
        <w:adjustRightInd w:val="0"/>
        <w:spacing w:after="0" w:line="240" w:lineRule="auto"/>
        <w:jc w:val="both"/>
        <w:rPr>
          <w:sz w:val="32"/>
          <w:szCs w:val="32"/>
        </w:rPr>
      </w:pPr>
      <w:r>
        <w:rPr>
          <w:sz w:val="32"/>
          <w:szCs w:val="32"/>
        </w:rPr>
        <w:t>Selon la théorie de P.P. Haillet (</w:t>
      </w:r>
      <w:r>
        <w:rPr>
          <w:i/>
          <w:iCs/>
          <w:sz w:val="32"/>
          <w:szCs w:val="32"/>
        </w:rPr>
        <w:t>2003</w:t>
      </w:r>
      <w:r>
        <w:rPr>
          <w:sz w:val="32"/>
          <w:szCs w:val="32"/>
        </w:rPr>
        <w:t>), les éléments de l’énoncé (temps verbal, verbeintroducteur) peuvent renseigner sur la représentation du locuteur du fait (procès) qu’il annonce (ou décrit). Il le montre dans les exemples suivants :</w:t>
      </w:r>
    </w:p>
    <w:p w:rsidR="00787C93" w:rsidRDefault="00787C93" w:rsidP="00787C93">
      <w:pPr>
        <w:pStyle w:val="Paragraphedeliste"/>
        <w:numPr>
          <w:ilvl w:val="0"/>
          <w:numId w:val="2"/>
        </w:numPr>
        <w:autoSpaceDE w:val="0"/>
        <w:autoSpaceDN w:val="0"/>
        <w:adjustRightInd w:val="0"/>
        <w:spacing w:after="0" w:line="240" w:lineRule="auto"/>
        <w:jc w:val="both"/>
        <w:rPr>
          <w:rFonts w:asciiTheme="majorBidi" w:hAnsiTheme="majorBidi" w:cstheme="majorBidi"/>
          <w:sz w:val="32"/>
          <w:szCs w:val="32"/>
        </w:rPr>
      </w:pPr>
      <w:r w:rsidRPr="00C8664E">
        <w:rPr>
          <w:rFonts w:asciiTheme="majorBidi" w:hAnsiTheme="majorBidi" w:cstheme="majorBidi"/>
          <w:b/>
          <w:bCs/>
          <w:sz w:val="32"/>
          <w:szCs w:val="32"/>
        </w:rPr>
        <w:t>a)</w:t>
      </w:r>
      <w:r w:rsidRPr="00C8664E">
        <w:rPr>
          <w:rFonts w:asciiTheme="majorBidi" w:hAnsiTheme="majorBidi" w:cstheme="majorBidi"/>
          <w:sz w:val="32"/>
          <w:szCs w:val="32"/>
        </w:rPr>
        <w:t xml:space="preserve"> Thomas est, parait-il, doué pour les langues</w:t>
      </w:r>
    </w:p>
    <w:p w:rsidR="00787C93" w:rsidRDefault="00787C93" w:rsidP="00787C93">
      <w:pPr>
        <w:pStyle w:val="Paragraphedeliste"/>
        <w:numPr>
          <w:ilvl w:val="0"/>
          <w:numId w:val="2"/>
        </w:num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b/>
          <w:bCs/>
          <w:sz w:val="32"/>
          <w:szCs w:val="32"/>
        </w:rPr>
        <w:t xml:space="preserve">b)  </w:t>
      </w:r>
      <w:r>
        <w:rPr>
          <w:rFonts w:asciiTheme="majorBidi" w:hAnsiTheme="majorBidi" w:cstheme="majorBidi"/>
          <w:sz w:val="32"/>
          <w:szCs w:val="32"/>
        </w:rPr>
        <w:t>Thomas serait doué pour les langues</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Dans les deux cas le locuteur n’adhère pas totalement à l’information qu’il apporte dans son énoncé concernant le fait schématisé ainsi : Thomas-être doué- pour les langues.</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Dans a) comme dans b), il montre que ce fait est « non intégré à sa réalité » ; les éléments qui le justifient sont :</w:t>
      </w:r>
    </w:p>
    <w:p w:rsidR="00787C93" w:rsidRDefault="00787C93" w:rsidP="00787C93">
      <w:pPr>
        <w:pStyle w:val="Paragraphedeliste"/>
        <w:numPr>
          <w:ilvl w:val="0"/>
          <w:numId w:val="3"/>
        </w:num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l’emploi de « parait-il »qui remet à une autre instance non désignée, la responsabilité de l’information</w:t>
      </w:r>
    </w:p>
    <w:p w:rsidR="00787C93" w:rsidRDefault="00787C93" w:rsidP="00787C93">
      <w:pPr>
        <w:pStyle w:val="Paragraphedeliste"/>
        <w:numPr>
          <w:ilvl w:val="0"/>
          <w:numId w:val="3"/>
        </w:num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l’emploi du mode conditionnel qui montre « une disjonction entre le locuteur-auteur de l’énoncé et le point de vue » qui en émane. Le propos parait douteux, non certain.</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La représentation peut reprendre la référence selon son sens réel comme elle peut modifier ce sens avec des éléments ajoutés ou mobilisés pour arriver à ce que les linguistes appellent « le point de vue ».</w:t>
      </w:r>
    </w:p>
    <w:p w:rsidR="00787C93" w:rsidRPr="00C91E8B" w:rsidRDefault="00787C93" w:rsidP="00787C93">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w:t>
      </w:r>
      <w:r w:rsidRPr="00C91E8B">
        <w:rPr>
          <w:rFonts w:asciiTheme="majorBidi" w:hAnsiTheme="majorBidi" w:cstheme="majorBidi"/>
          <w:b/>
          <w:bCs/>
          <w:sz w:val="32"/>
          <w:szCs w:val="32"/>
        </w:rPr>
        <w:t>Voir fichier n°2 pour les tâches</w:t>
      </w:r>
      <w:r>
        <w:rPr>
          <w:rFonts w:asciiTheme="majorBidi" w:hAnsiTheme="majorBidi" w:cstheme="majorBidi"/>
          <w:sz w:val="32"/>
          <w:szCs w:val="32"/>
        </w:rPr>
        <w:t>.)</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b/>
          <w:bCs/>
          <w:sz w:val="32"/>
          <w:szCs w:val="32"/>
        </w:rPr>
      </w:pPr>
      <w:r w:rsidRPr="00955E4C">
        <w:rPr>
          <w:rFonts w:asciiTheme="majorBidi" w:hAnsiTheme="majorBidi" w:cstheme="majorBidi"/>
          <w:b/>
          <w:bCs/>
          <w:sz w:val="32"/>
          <w:szCs w:val="32"/>
        </w:rPr>
        <w:t>Références bibliographiques</w:t>
      </w:r>
    </w:p>
    <w:p w:rsidR="00787C93" w:rsidRPr="00C91E8B" w:rsidRDefault="00787C93" w:rsidP="00787C93">
      <w:pPr>
        <w:autoSpaceDE w:val="0"/>
        <w:autoSpaceDN w:val="0"/>
        <w:adjustRightInd w:val="0"/>
        <w:spacing w:after="0" w:line="240" w:lineRule="auto"/>
        <w:jc w:val="both"/>
        <w:rPr>
          <w:rFonts w:asciiTheme="majorBidi" w:hAnsiTheme="majorBidi" w:cstheme="majorBidi"/>
          <w:b/>
          <w:bCs/>
          <w:sz w:val="32"/>
          <w:szCs w:val="32"/>
        </w:rPr>
      </w:pPr>
      <w:r w:rsidRPr="00977CF7">
        <w:rPr>
          <w:rFonts w:asciiTheme="majorBidi" w:hAnsiTheme="majorBidi" w:cstheme="majorBidi"/>
          <w:b/>
          <w:bCs/>
          <w:sz w:val="32"/>
          <w:szCs w:val="32"/>
        </w:rPr>
        <w:t>Frege, F. L. G.</w:t>
      </w:r>
      <w:r w:rsidRPr="00977CF7">
        <w:rPr>
          <w:rFonts w:asciiTheme="majorBidi" w:hAnsiTheme="majorBidi" w:cstheme="majorBidi"/>
          <w:sz w:val="32"/>
          <w:szCs w:val="32"/>
        </w:rPr>
        <w:t xml:space="preserve"> (1892). </w:t>
      </w:r>
      <w:r w:rsidRPr="00C91E8B">
        <w:rPr>
          <w:rFonts w:asciiTheme="majorBidi" w:hAnsiTheme="majorBidi" w:cstheme="majorBidi"/>
          <w:sz w:val="32"/>
          <w:szCs w:val="32"/>
          <w:lang w:val="en-US"/>
        </w:rPr>
        <w:t xml:space="preserve">Über Sinn und Bedeutung. </w:t>
      </w:r>
      <w:r w:rsidRPr="00977CF7">
        <w:rPr>
          <w:rFonts w:asciiTheme="majorBidi" w:hAnsiTheme="majorBidi" w:cstheme="majorBidi"/>
          <w:i/>
          <w:iCs/>
          <w:sz w:val="32"/>
          <w:szCs w:val="32"/>
          <w:lang w:val="en-US"/>
        </w:rPr>
        <w:t>Zeitschrift für Philosophie und philosophische Kritik</w:t>
      </w:r>
      <w:r w:rsidRPr="00977CF7">
        <w:rPr>
          <w:rFonts w:asciiTheme="majorBidi" w:hAnsiTheme="majorBidi" w:cstheme="majorBidi"/>
          <w:sz w:val="32"/>
          <w:szCs w:val="32"/>
          <w:lang w:val="en-US"/>
        </w:rPr>
        <w:t xml:space="preserve">, 100 (pp. 22-50). </w:t>
      </w:r>
      <w:r w:rsidRPr="00C91E8B">
        <w:rPr>
          <w:rFonts w:asciiTheme="majorBidi" w:hAnsiTheme="majorBidi" w:cstheme="majorBidi"/>
          <w:sz w:val="32"/>
          <w:szCs w:val="32"/>
        </w:rPr>
        <w:t xml:space="preserve">Trad. fr. Claude Imbert, «Sens et dénotation», in </w:t>
      </w:r>
      <w:r w:rsidRPr="00C91E8B">
        <w:rPr>
          <w:rFonts w:asciiTheme="majorBidi" w:hAnsiTheme="majorBidi" w:cstheme="majorBidi"/>
          <w:i/>
          <w:iCs/>
          <w:sz w:val="32"/>
          <w:szCs w:val="32"/>
        </w:rPr>
        <w:t>Écrits logiques et philosophiques</w:t>
      </w:r>
      <w:r w:rsidRPr="00C91E8B">
        <w:rPr>
          <w:rFonts w:asciiTheme="majorBidi" w:hAnsiTheme="majorBidi" w:cstheme="majorBidi"/>
          <w:sz w:val="32"/>
          <w:szCs w:val="32"/>
        </w:rPr>
        <w:t xml:space="preserve"> (pp. 102-126), Paris : Seuil, 1971</w:t>
      </w:r>
    </w:p>
    <w:p w:rsidR="00787C93" w:rsidRPr="008C3C23" w:rsidRDefault="00787C93" w:rsidP="00787C93">
      <w:pPr>
        <w:autoSpaceDE w:val="0"/>
        <w:autoSpaceDN w:val="0"/>
        <w:adjustRightInd w:val="0"/>
        <w:spacing w:after="0" w:line="240" w:lineRule="auto"/>
        <w:jc w:val="both"/>
        <w:rPr>
          <w:rFonts w:asciiTheme="majorBidi" w:hAnsiTheme="majorBidi" w:cstheme="majorBidi"/>
          <w:sz w:val="32"/>
          <w:szCs w:val="32"/>
        </w:rPr>
      </w:pPr>
      <w:r w:rsidRPr="00583C7A">
        <w:rPr>
          <w:rFonts w:asciiTheme="majorBidi" w:hAnsiTheme="majorBidi" w:cstheme="majorBidi"/>
          <w:b/>
          <w:bCs/>
          <w:sz w:val="32"/>
          <w:szCs w:val="32"/>
        </w:rPr>
        <w:t>Fuchs, C.,</w:t>
      </w:r>
      <w:r w:rsidRPr="008C3C23">
        <w:rPr>
          <w:rFonts w:asciiTheme="majorBidi" w:hAnsiTheme="majorBidi" w:cstheme="majorBidi"/>
          <w:sz w:val="32"/>
          <w:szCs w:val="32"/>
        </w:rPr>
        <w:t xml:space="preserve"> 1996, </w:t>
      </w:r>
      <w:r w:rsidRPr="008C3C23">
        <w:rPr>
          <w:rFonts w:asciiTheme="majorBidi" w:hAnsiTheme="majorBidi" w:cstheme="majorBidi"/>
          <w:i/>
          <w:iCs/>
          <w:sz w:val="32"/>
          <w:szCs w:val="32"/>
        </w:rPr>
        <w:t>Les ambiguïtés du français</w:t>
      </w:r>
      <w:r>
        <w:rPr>
          <w:rFonts w:asciiTheme="majorBidi" w:hAnsiTheme="majorBidi" w:cstheme="majorBidi"/>
          <w:sz w:val="32"/>
          <w:szCs w:val="32"/>
        </w:rPr>
        <w:t>, L’essentiel, Ophrys.</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sidRPr="00583C7A">
        <w:rPr>
          <w:rFonts w:asciiTheme="majorBidi" w:hAnsiTheme="majorBidi" w:cstheme="majorBidi"/>
          <w:b/>
          <w:bCs/>
          <w:sz w:val="32"/>
          <w:szCs w:val="32"/>
        </w:rPr>
        <w:t>Haillet, P.P</w:t>
      </w:r>
      <w:r>
        <w:rPr>
          <w:rFonts w:asciiTheme="majorBidi" w:hAnsiTheme="majorBidi" w:cstheme="majorBidi"/>
          <w:sz w:val="32"/>
          <w:szCs w:val="32"/>
        </w:rPr>
        <w:t xml:space="preserve">., 2007, </w:t>
      </w:r>
      <w:r w:rsidRPr="0067524E">
        <w:rPr>
          <w:rFonts w:asciiTheme="majorBidi" w:hAnsiTheme="majorBidi" w:cstheme="majorBidi"/>
          <w:i/>
          <w:iCs/>
          <w:sz w:val="32"/>
          <w:szCs w:val="32"/>
        </w:rPr>
        <w:t>Linguistique des représentations discursives</w:t>
      </w:r>
      <w:r>
        <w:rPr>
          <w:rFonts w:asciiTheme="majorBidi" w:hAnsiTheme="majorBidi" w:cstheme="majorBidi"/>
          <w:i/>
          <w:iCs/>
          <w:sz w:val="32"/>
          <w:szCs w:val="32"/>
        </w:rPr>
        <w:t xml:space="preserve">, </w:t>
      </w:r>
      <w:r>
        <w:rPr>
          <w:rFonts w:asciiTheme="majorBidi" w:hAnsiTheme="majorBidi" w:cstheme="majorBidi"/>
          <w:sz w:val="32"/>
          <w:szCs w:val="32"/>
        </w:rPr>
        <w:t>de Boeck.</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sidRPr="00583C7A">
        <w:rPr>
          <w:rFonts w:asciiTheme="majorBidi" w:hAnsiTheme="majorBidi" w:cstheme="majorBidi"/>
          <w:b/>
          <w:bCs/>
          <w:sz w:val="32"/>
          <w:szCs w:val="32"/>
        </w:rPr>
        <w:t>Haillet, P.P.,</w:t>
      </w:r>
      <w:r>
        <w:rPr>
          <w:rFonts w:asciiTheme="majorBidi" w:hAnsiTheme="majorBidi" w:cstheme="majorBidi"/>
          <w:sz w:val="32"/>
          <w:szCs w:val="32"/>
        </w:rPr>
        <w:t xml:space="preserve"> 2003, « Représentations discursives, point(s) de vue et signifié unique du conditionnel, in </w:t>
      </w:r>
      <w:r w:rsidRPr="00DC07C5">
        <w:rPr>
          <w:rFonts w:asciiTheme="majorBidi" w:hAnsiTheme="majorBidi" w:cstheme="majorBidi"/>
          <w:i/>
          <w:iCs/>
          <w:sz w:val="32"/>
          <w:szCs w:val="32"/>
        </w:rPr>
        <w:t>Temps et contexte</w:t>
      </w:r>
      <w:r>
        <w:rPr>
          <w:rFonts w:asciiTheme="majorBidi" w:hAnsiTheme="majorBidi" w:cstheme="majorBidi"/>
          <w:sz w:val="32"/>
          <w:szCs w:val="32"/>
        </w:rPr>
        <w:t xml:space="preserve">, pp.35-47 – </w:t>
      </w:r>
      <w:r w:rsidRPr="00DC07C5">
        <w:rPr>
          <w:rFonts w:asciiTheme="majorBidi" w:hAnsiTheme="majorBidi" w:cstheme="majorBidi"/>
          <w:i/>
          <w:iCs/>
          <w:sz w:val="32"/>
          <w:szCs w:val="32"/>
        </w:rPr>
        <w:t>Persée</w:t>
      </w:r>
      <w:r>
        <w:rPr>
          <w:rFonts w:asciiTheme="majorBidi" w:hAnsiTheme="majorBidi" w:cstheme="majorBidi"/>
          <w:sz w:val="32"/>
          <w:szCs w:val="32"/>
        </w:rPr>
        <w:t xml:space="preserve"> en ligne, consulté le 21/4/2020.</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sidRPr="00583C7A">
        <w:rPr>
          <w:rFonts w:asciiTheme="majorBidi" w:hAnsiTheme="majorBidi" w:cstheme="majorBidi"/>
          <w:b/>
          <w:bCs/>
          <w:sz w:val="32"/>
          <w:szCs w:val="32"/>
        </w:rPr>
        <w:t>Kamp, H</w:t>
      </w:r>
      <w:r>
        <w:rPr>
          <w:rFonts w:asciiTheme="majorBidi" w:hAnsiTheme="majorBidi" w:cstheme="majorBidi"/>
          <w:sz w:val="32"/>
          <w:szCs w:val="32"/>
        </w:rPr>
        <w:t xml:space="preserve">., 1981, « Evénements, représentations discursives et référence temporelle » in </w:t>
      </w:r>
      <w:r w:rsidRPr="00CE2815">
        <w:rPr>
          <w:rFonts w:asciiTheme="majorBidi" w:hAnsiTheme="majorBidi" w:cstheme="majorBidi"/>
          <w:i/>
          <w:iCs/>
          <w:sz w:val="32"/>
          <w:szCs w:val="32"/>
        </w:rPr>
        <w:t>Le temps grammatical/ logiques temporelles et analyse linguistique</w:t>
      </w:r>
      <w:r>
        <w:rPr>
          <w:rFonts w:asciiTheme="majorBidi" w:hAnsiTheme="majorBidi" w:cstheme="majorBidi"/>
          <w:sz w:val="32"/>
          <w:szCs w:val="32"/>
        </w:rPr>
        <w:t>, pp. 39-61 ; article traduit par Frédéric Nef.</w:t>
      </w: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Persée en ligne, page consultée le 21/4/2020.</w:t>
      </w:r>
    </w:p>
    <w:p w:rsidR="00787C93" w:rsidRPr="007756F2" w:rsidRDefault="00787C93" w:rsidP="00787C93">
      <w:pPr>
        <w:autoSpaceDE w:val="0"/>
        <w:autoSpaceDN w:val="0"/>
        <w:adjustRightInd w:val="0"/>
        <w:spacing w:after="0" w:line="240" w:lineRule="auto"/>
        <w:jc w:val="both"/>
        <w:rPr>
          <w:rFonts w:asciiTheme="majorBidi" w:hAnsiTheme="majorBidi" w:cstheme="majorBidi"/>
          <w:sz w:val="32"/>
          <w:szCs w:val="32"/>
        </w:rPr>
      </w:pPr>
      <w:r w:rsidRPr="007756F2">
        <w:rPr>
          <w:rFonts w:asciiTheme="majorBidi" w:hAnsiTheme="majorBidi" w:cstheme="majorBidi"/>
          <w:b/>
          <w:bCs/>
          <w:sz w:val="32"/>
          <w:szCs w:val="32"/>
        </w:rPr>
        <w:t>Kleiber, G.,</w:t>
      </w:r>
      <w:r w:rsidRPr="007756F2">
        <w:rPr>
          <w:rFonts w:asciiTheme="majorBidi" w:hAnsiTheme="majorBidi" w:cstheme="majorBidi"/>
          <w:sz w:val="32"/>
          <w:szCs w:val="32"/>
        </w:rPr>
        <w:t xml:space="preserve"> 1990.</w:t>
      </w:r>
      <w:r w:rsidRPr="007756F2">
        <w:rPr>
          <w:rStyle w:val="Accentuation"/>
          <w:rFonts w:asciiTheme="majorBidi" w:hAnsiTheme="majorBidi" w:cstheme="majorBidi"/>
          <w:sz w:val="32"/>
          <w:szCs w:val="32"/>
        </w:rPr>
        <w:t xml:space="preserve"> La sémantique du prototype : catégories et sens lexical,</w:t>
      </w:r>
      <w:r w:rsidRPr="007756F2">
        <w:rPr>
          <w:rFonts w:asciiTheme="majorBidi" w:hAnsiTheme="majorBidi" w:cstheme="majorBidi"/>
          <w:sz w:val="32"/>
          <w:szCs w:val="32"/>
        </w:rPr>
        <w:t xml:space="preserve"> Paris, PUF (Linguistique nouvelle). </w:t>
      </w:r>
    </w:p>
    <w:p w:rsidR="00787C93" w:rsidRDefault="00787C93" w:rsidP="00787C93">
      <w:pPr>
        <w:pStyle w:val="Notedebasdepage"/>
        <w:rPr>
          <w:rFonts w:asciiTheme="majorBidi" w:hAnsiTheme="majorBidi" w:cstheme="majorBidi"/>
          <w:sz w:val="32"/>
          <w:szCs w:val="32"/>
        </w:rPr>
      </w:pPr>
      <w:r w:rsidRPr="00583C7A">
        <w:rPr>
          <w:rFonts w:asciiTheme="majorBidi" w:hAnsiTheme="majorBidi" w:cstheme="majorBidi"/>
          <w:b/>
          <w:bCs/>
          <w:sz w:val="32"/>
          <w:szCs w:val="32"/>
        </w:rPr>
        <w:t xml:space="preserve"> Lyons, </w:t>
      </w:r>
      <w:r>
        <w:rPr>
          <w:rFonts w:asciiTheme="majorBidi" w:hAnsiTheme="majorBidi" w:cstheme="majorBidi"/>
          <w:b/>
          <w:bCs/>
          <w:sz w:val="32"/>
          <w:szCs w:val="32"/>
        </w:rPr>
        <w:t>J</w:t>
      </w:r>
      <w:r w:rsidRPr="00DC07C5">
        <w:rPr>
          <w:rFonts w:asciiTheme="majorBidi" w:hAnsiTheme="majorBidi" w:cstheme="majorBidi"/>
          <w:sz w:val="32"/>
          <w:szCs w:val="32"/>
        </w:rPr>
        <w:t> ; (…),» (</w:t>
      </w:r>
      <w:r w:rsidRPr="00DC07C5">
        <w:rPr>
          <w:rStyle w:val="Accentuation"/>
          <w:rFonts w:asciiTheme="majorBidi" w:hAnsiTheme="majorBidi" w:cstheme="majorBidi"/>
          <w:sz w:val="32"/>
          <w:szCs w:val="32"/>
        </w:rPr>
        <w:t xml:space="preserve">Linguistique générale </w:t>
      </w:r>
      <w:r w:rsidRPr="00DC07C5">
        <w:rPr>
          <w:rFonts w:asciiTheme="majorBidi" w:hAnsiTheme="majorBidi" w:cstheme="majorBidi"/>
          <w:sz w:val="32"/>
          <w:szCs w:val="32"/>
        </w:rPr>
        <w:t xml:space="preserve">p. 326 s.) , cité par A. Rousseau, </w:t>
      </w:r>
      <w:r w:rsidRPr="00DC07C5">
        <w:rPr>
          <w:rFonts w:asciiTheme="majorBidi" w:hAnsiTheme="majorBidi" w:cstheme="majorBidi"/>
          <w:i/>
          <w:iCs/>
          <w:sz w:val="32"/>
          <w:szCs w:val="32"/>
        </w:rPr>
        <w:t>op. cit</w:t>
      </w:r>
      <w:r w:rsidRPr="00DC07C5">
        <w:rPr>
          <w:rFonts w:asciiTheme="majorBidi" w:hAnsiTheme="majorBidi" w:cstheme="majorBidi"/>
          <w:sz w:val="32"/>
          <w:szCs w:val="32"/>
        </w:rPr>
        <w:t>.</w:t>
      </w:r>
    </w:p>
    <w:p w:rsidR="00787C93" w:rsidRDefault="00787C93" w:rsidP="00787C93">
      <w:pPr>
        <w:pStyle w:val="Notedebasdepage"/>
        <w:rPr>
          <w:rFonts w:asciiTheme="majorBidi" w:hAnsiTheme="majorBidi" w:cstheme="majorBidi"/>
          <w:i/>
          <w:iCs/>
          <w:sz w:val="32"/>
          <w:szCs w:val="32"/>
        </w:rPr>
      </w:pPr>
      <w:r w:rsidRPr="00583C7A">
        <w:rPr>
          <w:rFonts w:asciiTheme="majorBidi" w:hAnsiTheme="majorBidi" w:cstheme="majorBidi"/>
          <w:b/>
          <w:bCs/>
          <w:sz w:val="32"/>
          <w:szCs w:val="32"/>
        </w:rPr>
        <w:t>Mérine, K</w:t>
      </w:r>
      <w:r>
        <w:rPr>
          <w:rFonts w:asciiTheme="majorBidi" w:hAnsiTheme="majorBidi" w:cstheme="majorBidi"/>
          <w:sz w:val="32"/>
          <w:szCs w:val="32"/>
        </w:rPr>
        <w:t xml:space="preserve">., 2010, </w:t>
      </w:r>
      <w:r w:rsidRPr="00583C7A">
        <w:rPr>
          <w:rFonts w:asciiTheme="majorBidi" w:hAnsiTheme="majorBidi" w:cstheme="majorBidi"/>
          <w:i/>
          <w:iCs/>
          <w:sz w:val="32"/>
          <w:szCs w:val="32"/>
        </w:rPr>
        <w:t>L’ambiguïté linguistique et la grammaire scolaire</w:t>
      </w:r>
    </w:p>
    <w:p w:rsidR="00787C93" w:rsidRDefault="00787C93" w:rsidP="00787C93">
      <w:pPr>
        <w:pStyle w:val="Notedebasdepage"/>
        <w:rPr>
          <w:rFonts w:asciiTheme="majorBidi" w:hAnsiTheme="majorBidi" w:cstheme="majorBidi"/>
          <w:sz w:val="32"/>
          <w:szCs w:val="32"/>
        </w:rPr>
      </w:pPr>
      <w:r>
        <w:rPr>
          <w:rFonts w:asciiTheme="majorBidi" w:hAnsiTheme="majorBidi" w:cstheme="majorBidi"/>
          <w:sz w:val="32"/>
          <w:szCs w:val="32"/>
        </w:rPr>
        <w:t>Thèse de doctorat sous la direction de P.P. Haillet et de F-Z. Lalaoui</w:t>
      </w:r>
    </w:p>
    <w:p w:rsidR="00787C93" w:rsidRPr="00583C7A" w:rsidRDefault="00787C93" w:rsidP="00787C93">
      <w:pPr>
        <w:pStyle w:val="Notedebasdepage"/>
        <w:rPr>
          <w:rFonts w:asciiTheme="majorBidi" w:hAnsiTheme="majorBidi" w:cstheme="majorBidi"/>
          <w:sz w:val="32"/>
          <w:szCs w:val="32"/>
        </w:rPr>
      </w:pPr>
      <w:r>
        <w:rPr>
          <w:rFonts w:asciiTheme="majorBidi" w:hAnsiTheme="majorBidi" w:cstheme="majorBidi"/>
          <w:sz w:val="32"/>
          <w:szCs w:val="32"/>
        </w:rPr>
        <w:t>Université d’Oran.</w:t>
      </w:r>
    </w:p>
    <w:p w:rsidR="00787C93" w:rsidRDefault="00787C93" w:rsidP="00787C93">
      <w:pPr>
        <w:pStyle w:val="Notedebasdepage"/>
        <w:rPr>
          <w:rFonts w:asciiTheme="majorBidi" w:hAnsiTheme="majorBidi" w:cstheme="majorBidi"/>
          <w:sz w:val="32"/>
          <w:szCs w:val="32"/>
        </w:rPr>
      </w:pPr>
      <w:r w:rsidRPr="00583C7A">
        <w:rPr>
          <w:rFonts w:asciiTheme="majorBidi" w:hAnsiTheme="majorBidi" w:cstheme="majorBidi"/>
          <w:b/>
          <w:bCs/>
          <w:sz w:val="32"/>
          <w:szCs w:val="32"/>
        </w:rPr>
        <w:t>Mérine, K</w:t>
      </w:r>
      <w:r>
        <w:rPr>
          <w:rFonts w:asciiTheme="majorBidi" w:hAnsiTheme="majorBidi" w:cstheme="majorBidi"/>
          <w:sz w:val="32"/>
          <w:szCs w:val="32"/>
        </w:rPr>
        <w:t xml:space="preserve">. </w:t>
      </w:r>
      <w:r w:rsidRPr="00540CE4">
        <w:rPr>
          <w:rFonts w:asciiTheme="majorBidi" w:hAnsiTheme="majorBidi" w:cstheme="majorBidi"/>
          <w:i/>
          <w:iCs/>
          <w:sz w:val="32"/>
          <w:szCs w:val="32"/>
        </w:rPr>
        <w:t>et al</w:t>
      </w:r>
      <w:r>
        <w:rPr>
          <w:rFonts w:asciiTheme="majorBidi" w:hAnsiTheme="majorBidi" w:cstheme="majorBidi"/>
          <w:sz w:val="32"/>
          <w:szCs w:val="32"/>
        </w:rPr>
        <w:t xml:space="preserve">, 2017, </w:t>
      </w:r>
      <w:r w:rsidRPr="00540CE4">
        <w:rPr>
          <w:rFonts w:asciiTheme="majorBidi" w:hAnsiTheme="majorBidi" w:cstheme="majorBidi"/>
          <w:i/>
          <w:iCs/>
          <w:sz w:val="32"/>
          <w:szCs w:val="32"/>
        </w:rPr>
        <w:t>Notions de linguistique générale</w:t>
      </w:r>
      <w:r>
        <w:rPr>
          <w:rFonts w:asciiTheme="majorBidi" w:hAnsiTheme="majorBidi" w:cstheme="majorBidi"/>
          <w:sz w:val="32"/>
          <w:szCs w:val="32"/>
        </w:rPr>
        <w:t xml:space="preserve"> : </w:t>
      </w:r>
      <w:r w:rsidRPr="00540CE4">
        <w:rPr>
          <w:rFonts w:asciiTheme="majorBidi" w:hAnsiTheme="majorBidi" w:cstheme="majorBidi"/>
          <w:i/>
          <w:iCs/>
          <w:sz w:val="32"/>
          <w:szCs w:val="32"/>
        </w:rPr>
        <w:t>cours et</w:t>
      </w:r>
      <w:r>
        <w:rPr>
          <w:rFonts w:asciiTheme="majorBidi" w:hAnsiTheme="majorBidi" w:cstheme="majorBidi"/>
          <w:sz w:val="32"/>
          <w:szCs w:val="32"/>
        </w:rPr>
        <w:t xml:space="preserve"> </w:t>
      </w:r>
      <w:r w:rsidRPr="00540CE4">
        <w:rPr>
          <w:rFonts w:asciiTheme="majorBidi" w:hAnsiTheme="majorBidi" w:cstheme="majorBidi"/>
          <w:i/>
          <w:iCs/>
          <w:sz w:val="32"/>
          <w:szCs w:val="32"/>
        </w:rPr>
        <w:t>travaux dirigés</w:t>
      </w:r>
      <w:r>
        <w:rPr>
          <w:rFonts w:asciiTheme="majorBidi" w:hAnsiTheme="majorBidi" w:cstheme="majorBidi"/>
          <w:sz w:val="32"/>
          <w:szCs w:val="32"/>
        </w:rPr>
        <w:t>, édit. Dar Elqods .</w:t>
      </w:r>
    </w:p>
    <w:p w:rsidR="00787C93" w:rsidRPr="00540CE4" w:rsidRDefault="00787C93" w:rsidP="00787C93">
      <w:pPr>
        <w:pStyle w:val="Notedebasdepage"/>
        <w:rPr>
          <w:rFonts w:asciiTheme="majorBidi" w:hAnsiTheme="majorBidi" w:cstheme="majorBidi"/>
          <w:sz w:val="32"/>
          <w:szCs w:val="32"/>
        </w:rPr>
      </w:pPr>
      <w:r w:rsidRPr="00583C7A">
        <w:rPr>
          <w:rFonts w:asciiTheme="majorBidi" w:hAnsiTheme="majorBidi" w:cstheme="majorBidi"/>
          <w:b/>
          <w:bCs/>
          <w:sz w:val="32"/>
          <w:szCs w:val="32"/>
        </w:rPr>
        <w:t>Mortureux, M.-F.,</w:t>
      </w:r>
      <w:r>
        <w:rPr>
          <w:rFonts w:asciiTheme="majorBidi" w:hAnsiTheme="majorBidi" w:cstheme="majorBidi"/>
          <w:sz w:val="32"/>
          <w:szCs w:val="32"/>
        </w:rPr>
        <w:t xml:space="preserve"> 1997, </w:t>
      </w:r>
      <w:r w:rsidRPr="00540CE4">
        <w:rPr>
          <w:rFonts w:asciiTheme="majorBidi" w:hAnsiTheme="majorBidi" w:cstheme="majorBidi"/>
          <w:i/>
          <w:iCs/>
          <w:sz w:val="32"/>
          <w:szCs w:val="32"/>
        </w:rPr>
        <w:t>La lexicologie entre langue et discours</w:t>
      </w:r>
      <w:r>
        <w:rPr>
          <w:rFonts w:asciiTheme="majorBidi" w:hAnsiTheme="majorBidi" w:cstheme="majorBidi"/>
          <w:sz w:val="32"/>
          <w:szCs w:val="32"/>
        </w:rPr>
        <w:t>, éditions SEDES</w:t>
      </w:r>
    </w:p>
    <w:p w:rsidR="00787C93" w:rsidRPr="00540CE4" w:rsidRDefault="00787C93" w:rsidP="00787C93">
      <w:pPr>
        <w:pStyle w:val="Notedebasdepage"/>
        <w:rPr>
          <w:rFonts w:asciiTheme="majorBidi" w:eastAsia="Times New Roman" w:hAnsiTheme="majorBidi" w:cstheme="majorBidi"/>
          <w:sz w:val="32"/>
          <w:szCs w:val="32"/>
          <w:lang w:eastAsia="fr-FR"/>
        </w:rPr>
      </w:pPr>
      <w:r w:rsidRPr="00583C7A">
        <w:rPr>
          <w:rFonts w:asciiTheme="majorBidi" w:hAnsiTheme="majorBidi" w:cstheme="majorBidi"/>
          <w:b/>
          <w:bCs/>
          <w:sz w:val="32"/>
          <w:szCs w:val="32"/>
        </w:rPr>
        <w:t>Rousseau, A.</w:t>
      </w:r>
      <w:r>
        <w:rPr>
          <w:rFonts w:asciiTheme="majorBidi" w:hAnsiTheme="majorBidi" w:cstheme="majorBidi"/>
          <w:sz w:val="32"/>
          <w:szCs w:val="32"/>
        </w:rPr>
        <w:t xml:space="preserve">, </w:t>
      </w:r>
      <w:r w:rsidRPr="00400086">
        <w:rPr>
          <w:rFonts w:asciiTheme="majorBidi" w:hAnsiTheme="majorBidi" w:cstheme="majorBidi"/>
          <w:sz w:val="32"/>
          <w:szCs w:val="32"/>
        </w:rPr>
        <w:t xml:space="preserve">1990, « Quelques aspects de la philosophie du langage (Frege, Husserl, Wittgenstein) et leur incidence en linguistique » in </w:t>
      </w:r>
      <w:r w:rsidRPr="008C3C23">
        <w:rPr>
          <w:rFonts w:asciiTheme="majorBidi" w:hAnsiTheme="majorBidi" w:cstheme="majorBidi"/>
          <w:i/>
          <w:iCs/>
          <w:sz w:val="32"/>
          <w:szCs w:val="32"/>
        </w:rPr>
        <w:t>Germanica</w:t>
      </w:r>
      <w:r w:rsidRPr="00400086">
        <w:rPr>
          <w:rFonts w:asciiTheme="majorBidi" w:hAnsiTheme="majorBidi" w:cstheme="majorBidi"/>
          <w:sz w:val="32"/>
          <w:szCs w:val="32"/>
        </w:rPr>
        <w:t>, [en ligne] 8 |1990, mis en ligne le</w:t>
      </w:r>
      <w:r>
        <w:rPr>
          <w:rFonts w:asciiTheme="majorBidi" w:hAnsiTheme="majorBidi" w:cstheme="majorBidi"/>
          <w:sz w:val="32"/>
          <w:szCs w:val="32"/>
        </w:rPr>
        <w:t xml:space="preserve"> </w:t>
      </w:r>
      <w:r w:rsidRPr="00400086">
        <w:rPr>
          <w:rFonts w:asciiTheme="majorBidi" w:hAnsiTheme="majorBidi" w:cstheme="majorBidi"/>
          <w:sz w:val="32"/>
          <w:szCs w:val="32"/>
        </w:rPr>
        <w:t xml:space="preserve">15mai 2014, consulté le 31 mars 2018. </w:t>
      </w:r>
      <w:r w:rsidRPr="00540CE4">
        <w:rPr>
          <w:rFonts w:asciiTheme="majorBidi" w:hAnsiTheme="majorBidi" w:cstheme="majorBidi"/>
          <w:sz w:val="32"/>
          <w:szCs w:val="32"/>
        </w:rPr>
        <w:t>URL :</w:t>
      </w:r>
      <w:r w:rsidRPr="00540CE4">
        <w:rPr>
          <w:rFonts w:asciiTheme="majorBidi" w:eastAsia="Times New Roman" w:hAnsiTheme="majorBidi" w:cstheme="majorBidi"/>
          <w:sz w:val="32"/>
          <w:szCs w:val="32"/>
          <w:lang w:eastAsia="fr-FR"/>
        </w:rPr>
        <w:t xml:space="preserve"> http://journals.openedition.org/germanica/2472 ; DOI : 10.4000/germanica.2472</w:t>
      </w:r>
    </w:p>
    <w:p w:rsidR="00787C93" w:rsidRPr="00977CF7" w:rsidRDefault="00787C93" w:rsidP="00787C93">
      <w:pPr>
        <w:pStyle w:val="Notedebasdepage"/>
        <w:rPr>
          <w:rFonts w:asciiTheme="majorBidi" w:hAnsiTheme="majorBidi" w:cstheme="majorBidi"/>
          <w:sz w:val="32"/>
          <w:szCs w:val="32"/>
          <w:lang w:val="en-US"/>
        </w:rPr>
      </w:pPr>
      <w:r w:rsidRPr="00583C7A">
        <w:rPr>
          <w:rFonts w:asciiTheme="majorBidi" w:eastAsia="Times New Roman" w:hAnsiTheme="majorBidi" w:cstheme="majorBidi"/>
          <w:b/>
          <w:bCs/>
          <w:sz w:val="32"/>
          <w:szCs w:val="32"/>
          <w:lang w:eastAsia="fr-FR"/>
        </w:rPr>
        <w:t>Siouffi, G. et Van Raemdonck</w:t>
      </w:r>
      <w:r w:rsidRPr="008C3C23">
        <w:rPr>
          <w:rFonts w:asciiTheme="majorBidi" w:eastAsia="Times New Roman" w:hAnsiTheme="majorBidi" w:cstheme="majorBidi"/>
          <w:sz w:val="32"/>
          <w:szCs w:val="32"/>
          <w:lang w:eastAsia="fr-FR"/>
        </w:rPr>
        <w:t xml:space="preserve">, </w:t>
      </w:r>
      <w:r w:rsidRPr="00583C7A">
        <w:rPr>
          <w:rFonts w:asciiTheme="majorBidi" w:eastAsia="Times New Roman" w:hAnsiTheme="majorBidi" w:cstheme="majorBidi"/>
          <w:b/>
          <w:bCs/>
          <w:sz w:val="32"/>
          <w:szCs w:val="32"/>
          <w:lang w:eastAsia="fr-FR"/>
        </w:rPr>
        <w:t>D.</w:t>
      </w:r>
      <w:r>
        <w:rPr>
          <w:rFonts w:asciiTheme="majorBidi" w:eastAsia="Times New Roman" w:hAnsiTheme="majorBidi" w:cstheme="majorBidi"/>
          <w:sz w:val="32"/>
          <w:szCs w:val="32"/>
          <w:lang w:eastAsia="fr-FR"/>
        </w:rPr>
        <w:t xml:space="preserve">, 1999, </w:t>
      </w:r>
      <w:r w:rsidRPr="00540CE4">
        <w:rPr>
          <w:rFonts w:asciiTheme="majorBidi" w:eastAsia="Times New Roman" w:hAnsiTheme="majorBidi" w:cstheme="majorBidi"/>
          <w:i/>
          <w:iCs/>
          <w:sz w:val="32"/>
          <w:szCs w:val="32"/>
          <w:lang w:eastAsia="fr-FR"/>
        </w:rPr>
        <w:t>100 fiches pour comprendre la linguistique.</w:t>
      </w:r>
      <w:r>
        <w:rPr>
          <w:rFonts w:asciiTheme="majorBidi" w:eastAsia="Times New Roman" w:hAnsiTheme="majorBidi" w:cstheme="majorBidi"/>
          <w:sz w:val="32"/>
          <w:szCs w:val="32"/>
          <w:lang w:eastAsia="fr-FR"/>
        </w:rPr>
        <w:t xml:space="preserve"> </w:t>
      </w:r>
      <w:r w:rsidRPr="00977CF7">
        <w:rPr>
          <w:rFonts w:asciiTheme="majorBidi" w:eastAsia="Times New Roman" w:hAnsiTheme="majorBidi" w:cstheme="majorBidi"/>
          <w:sz w:val="32"/>
          <w:szCs w:val="32"/>
          <w:lang w:val="en-US" w:eastAsia="fr-FR"/>
        </w:rPr>
        <w:t xml:space="preserve">Bréal ; </w:t>
      </w:r>
    </w:p>
    <w:p w:rsidR="00787C93" w:rsidRPr="007C2962" w:rsidRDefault="00787C93" w:rsidP="00787C93">
      <w:pPr>
        <w:pStyle w:val="Notedebasdepage"/>
        <w:rPr>
          <w:rFonts w:asciiTheme="majorBidi" w:hAnsiTheme="majorBidi" w:cstheme="majorBidi"/>
          <w:i/>
          <w:iCs/>
          <w:sz w:val="32"/>
          <w:szCs w:val="32"/>
          <w:lang w:val="en-US"/>
        </w:rPr>
      </w:pPr>
      <w:r w:rsidRPr="00583C7A">
        <w:rPr>
          <w:rFonts w:asciiTheme="majorBidi" w:hAnsiTheme="majorBidi" w:cstheme="majorBidi"/>
          <w:b/>
          <w:bCs/>
          <w:sz w:val="36"/>
          <w:szCs w:val="36"/>
          <w:lang w:val="en-US"/>
        </w:rPr>
        <w:lastRenderedPageBreak/>
        <w:t>Ullmann, St</w:t>
      </w:r>
      <w:r w:rsidRPr="00DC07C5">
        <w:rPr>
          <w:rFonts w:asciiTheme="majorBidi" w:hAnsiTheme="majorBidi" w:cstheme="majorBidi"/>
          <w:sz w:val="36"/>
          <w:szCs w:val="36"/>
          <w:lang w:val="en-US"/>
        </w:rPr>
        <w:t xml:space="preserve">., 1957, </w:t>
      </w:r>
      <w:r w:rsidRPr="00DC07C5">
        <w:rPr>
          <w:rFonts w:asciiTheme="majorBidi" w:hAnsiTheme="majorBidi" w:cstheme="majorBidi"/>
          <w:i/>
          <w:iCs/>
          <w:sz w:val="32"/>
          <w:szCs w:val="32"/>
          <w:lang w:val="en-US"/>
        </w:rPr>
        <w:t xml:space="preserve">The principles of semantics, </w:t>
      </w:r>
      <w:r w:rsidRPr="00DC07C5">
        <w:rPr>
          <w:rFonts w:asciiTheme="majorBidi" w:hAnsiTheme="majorBidi" w:cstheme="majorBidi"/>
          <w:sz w:val="32"/>
          <w:szCs w:val="32"/>
          <w:lang w:val="en-US"/>
        </w:rPr>
        <w:t xml:space="preserve">Philosophical Library; Second Edition edition (January 1, 1957) </w:t>
      </w:r>
    </w:p>
    <w:p w:rsidR="00787C93" w:rsidRPr="00977CF7" w:rsidRDefault="00787C93" w:rsidP="00787C93">
      <w:pPr>
        <w:autoSpaceDE w:val="0"/>
        <w:autoSpaceDN w:val="0"/>
        <w:adjustRightInd w:val="0"/>
        <w:spacing w:after="0" w:line="240" w:lineRule="auto"/>
        <w:rPr>
          <w:rFonts w:asciiTheme="majorBidi" w:hAnsiTheme="majorBidi" w:cstheme="majorBidi"/>
          <w:sz w:val="32"/>
          <w:szCs w:val="32"/>
        </w:rPr>
      </w:pPr>
      <w:r w:rsidRPr="00977CF7">
        <w:rPr>
          <w:rFonts w:asciiTheme="majorBidi" w:hAnsiTheme="majorBidi" w:cstheme="majorBidi"/>
          <w:b/>
          <w:bCs/>
          <w:sz w:val="32"/>
          <w:szCs w:val="32"/>
        </w:rPr>
        <w:t>Wunderlich. D</w:t>
      </w:r>
      <w:r w:rsidRPr="00977CF7">
        <w:rPr>
          <w:rFonts w:asciiTheme="majorBidi" w:hAnsiTheme="majorBidi" w:cstheme="majorBidi"/>
          <w:sz w:val="32"/>
          <w:szCs w:val="32"/>
        </w:rPr>
        <w:t>., (…),</w:t>
      </w:r>
      <w:r w:rsidRPr="00977CF7">
        <w:rPr>
          <w:rStyle w:val="Accentuation"/>
          <w:rFonts w:asciiTheme="majorBidi" w:hAnsiTheme="majorBidi" w:cstheme="majorBidi"/>
          <w:sz w:val="32"/>
          <w:szCs w:val="32"/>
        </w:rPr>
        <w:t>Arbeitsbuch Semantik, passim</w:t>
      </w:r>
      <w:r w:rsidRPr="00977CF7">
        <w:rPr>
          <w:rFonts w:asciiTheme="majorBidi" w:hAnsiTheme="majorBidi" w:cstheme="majorBidi"/>
          <w:sz w:val="32"/>
          <w:szCs w:val="32"/>
        </w:rPr>
        <w:t xml:space="preserve">), cité par A. Rousseau, </w:t>
      </w:r>
      <w:r w:rsidRPr="00977CF7">
        <w:rPr>
          <w:rFonts w:asciiTheme="majorBidi" w:hAnsiTheme="majorBidi" w:cstheme="majorBidi"/>
          <w:i/>
          <w:iCs/>
          <w:sz w:val="32"/>
          <w:szCs w:val="32"/>
        </w:rPr>
        <w:t>op.cit</w:t>
      </w:r>
      <w:r w:rsidRPr="00977CF7">
        <w:rPr>
          <w:rFonts w:asciiTheme="majorBidi" w:hAnsiTheme="majorBidi" w:cstheme="majorBidi"/>
          <w:sz w:val="32"/>
          <w:szCs w:val="32"/>
        </w:rPr>
        <w:t xml:space="preserve">. </w:t>
      </w:r>
    </w:p>
    <w:p w:rsidR="00787C93" w:rsidRPr="00C91E8B" w:rsidRDefault="00787C93" w:rsidP="00787C93">
      <w:pPr>
        <w:autoSpaceDE w:val="0"/>
        <w:autoSpaceDN w:val="0"/>
        <w:adjustRightInd w:val="0"/>
        <w:spacing w:after="0" w:line="240" w:lineRule="auto"/>
        <w:rPr>
          <w:rFonts w:asciiTheme="majorBidi" w:hAnsiTheme="majorBidi" w:cstheme="majorBidi"/>
          <w:sz w:val="32"/>
          <w:szCs w:val="32"/>
        </w:rPr>
      </w:pPr>
      <w:r w:rsidRPr="00C91E8B">
        <w:rPr>
          <w:rFonts w:asciiTheme="majorBidi" w:hAnsiTheme="majorBidi" w:cstheme="majorBidi"/>
          <w:sz w:val="32"/>
          <w:szCs w:val="32"/>
        </w:rPr>
        <w:t>Voir fichier n°2 pour l</w:t>
      </w:r>
      <w:r>
        <w:rPr>
          <w:rFonts w:asciiTheme="majorBidi" w:hAnsiTheme="majorBidi" w:cstheme="majorBidi"/>
          <w:sz w:val="32"/>
          <w:szCs w:val="32"/>
        </w:rPr>
        <w:t>es tâches.</w:t>
      </w:r>
    </w:p>
    <w:p w:rsidR="00787C93" w:rsidRPr="00C91E8B" w:rsidRDefault="00787C93" w:rsidP="00787C93">
      <w:pPr>
        <w:rPr>
          <w:rFonts w:asciiTheme="majorBidi" w:hAnsiTheme="majorBidi" w:cstheme="majorBidi"/>
          <w:sz w:val="32"/>
          <w:szCs w:val="32"/>
        </w:rPr>
      </w:pPr>
    </w:p>
    <w:p w:rsidR="00787C93"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Pr="0067524E" w:rsidRDefault="00787C93" w:rsidP="00787C93">
      <w:pPr>
        <w:autoSpaceDE w:val="0"/>
        <w:autoSpaceDN w:val="0"/>
        <w:adjustRightInd w:val="0"/>
        <w:spacing w:after="0" w:line="240" w:lineRule="auto"/>
        <w:jc w:val="both"/>
        <w:rPr>
          <w:rFonts w:asciiTheme="majorBidi" w:hAnsiTheme="majorBidi" w:cstheme="majorBidi"/>
          <w:sz w:val="32"/>
          <w:szCs w:val="32"/>
        </w:rPr>
      </w:pPr>
    </w:p>
    <w:p w:rsidR="00787C93" w:rsidRDefault="00787C93" w:rsidP="00787C93">
      <w:pPr>
        <w:pStyle w:val="Paragraphedeliste"/>
        <w:autoSpaceDE w:val="0"/>
        <w:autoSpaceDN w:val="0"/>
        <w:adjustRightInd w:val="0"/>
        <w:spacing w:after="0" w:line="240" w:lineRule="auto"/>
        <w:jc w:val="both"/>
      </w:pPr>
    </w:p>
    <w:p w:rsidR="00787C93" w:rsidRDefault="00787C93" w:rsidP="00787C93">
      <w:pPr>
        <w:pStyle w:val="Paragraphedeliste"/>
        <w:autoSpaceDE w:val="0"/>
        <w:autoSpaceDN w:val="0"/>
        <w:adjustRightInd w:val="0"/>
        <w:spacing w:after="0" w:line="240" w:lineRule="auto"/>
        <w:jc w:val="both"/>
      </w:pPr>
    </w:p>
    <w:p w:rsidR="00787C93" w:rsidRDefault="00787C93" w:rsidP="00787C93">
      <w:pPr>
        <w:pStyle w:val="Paragraphedeliste"/>
        <w:autoSpaceDE w:val="0"/>
        <w:autoSpaceDN w:val="0"/>
        <w:adjustRightInd w:val="0"/>
        <w:spacing w:after="0" w:line="240" w:lineRule="auto"/>
        <w:jc w:val="both"/>
      </w:pPr>
    </w:p>
    <w:p w:rsidR="00787C93" w:rsidRDefault="00787C93" w:rsidP="00787C93">
      <w:pPr>
        <w:pStyle w:val="Paragraphedeliste"/>
        <w:autoSpaceDE w:val="0"/>
        <w:autoSpaceDN w:val="0"/>
        <w:adjustRightInd w:val="0"/>
        <w:spacing w:after="0" w:line="240" w:lineRule="auto"/>
        <w:jc w:val="both"/>
      </w:pPr>
    </w:p>
    <w:p w:rsidR="00787C93" w:rsidRDefault="00787C93" w:rsidP="00787C93">
      <w:pPr>
        <w:jc w:val="both"/>
      </w:pPr>
    </w:p>
    <w:p w:rsidR="00787C93" w:rsidRPr="00420986" w:rsidRDefault="00787C93" w:rsidP="00787C93">
      <w:pPr>
        <w:jc w:val="both"/>
        <w:rPr>
          <w:rFonts w:asciiTheme="majorBidi" w:hAnsiTheme="majorBidi" w:cstheme="majorBidi"/>
          <w:sz w:val="32"/>
          <w:szCs w:val="32"/>
        </w:rPr>
      </w:pPr>
      <w:r w:rsidRPr="00420986">
        <w:rPr>
          <w:rFonts w:asciiTheme="majorBidi" w:hAnsiTheme="majorBidi" w:cstheme="majorBidi"/>
          <w:sz w:val="32"/>
          <w:szCs w:val="32"/>
        </w:rPr>
        <w:t xml:space="preserve">  </w:t>
      </w:r>
    </w:p>
    <w:p w:rsidR="00787C93" w:rsidRDefault="00787C93" w:rsidP="00787C93">
      <w:pPr>
        <w:jc w:val="both"/>
        <w:rPr>
          <w:rFonts w:asciiTheme="majorBidi" w:hAnsiTheme="majorBidi" w:cstheme="majorBidi"/>
          <w:sz w:val="32"/>
          <w:szCs w:val="32"/>
        </w:rPr>
      </w:pPr>
    </w:p>
    <w:p w:rsidR="00787C93" w:rsidRPr="00787044" w:rsidRDefault="00787C93" w:rsidP="00787C93">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787C93" w:rsidRDefault="00787C93" w:rsidP="00787C93">
      <w:pPr>
        <w:jc w:val="both"/>
        <w:rPr>
          <w:rFonts w:asciiTheme="majorBidi" w:hAnsiTheme="majorBidi" w:cstheme="majorBidi"/>
          <w:sz w:val="32"/>
          <w:szCs w:val="32"/>
        </w:rPr>
      </w:pPr>
    </w:p>
    <w:p w:rsidR="00787C93" w:rsidRPr="00E13B21" w:rsidRDefault="00787C93" w:rsidP="00787C93">
      <w:pPr>
        <w:pStyle w:val="Paragraphedeliste"/>
        <w:numPr>
          <w:ilvl w:val="0"/>
          <w:numId w:val="2"/>
        </w:numPr>
        <w:jc w:val="both"/>
        <w:rPr>
          <w:rFonts w:asciiTheme="majorBidi" w:hAnsiTheme="majorBidi" w:cstheme="majorBidi"/>
          <w:i/>
          <w:iCs/>
          <w:sz w:val="32"/>
          <w:szCs w:val="32"/>
        </w:rPr>
      </w:pPr>
    </w:p>
    <w:p w:rsidR="00787C93" w:rsidRDefault="00787C93" w:rsidP="00787C93">
      <w:pPr>
        <w:jc w:val="both"/>
        <w:rPr>
          <w:rFonts w:asciiTheme="majorBidi" w:hAnsiTheme="majorBidi" w:cstheme="majorBidi"/>
          <w:sz w:val="32"/>
          <w:szCs w:val="32"/>
        </w:rPr>
      </w:pPr>
    </w:p>
    <w:p w:rsidR="007C6455" w:rsidRDefault="007C6455" w:rsidP="00787C93"/>
    <w:sectPr w:rsidR="007C6455" w:rsidSect="007C6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559" w:rsidRDefault="00C82559" w:rsidP="00787C93">
      <w:pPr>
        <w:spacing w:after="0" w:line="240" w:lineRule="auto"/>
      </w:pPr>
      <w:r>
        <w:separator/>
      </w:r>
    </w:p>
  </w:endnote>
  <w:endnote w:type="continuationSeparator" w:id="1">
    <w:p w:rsidR="00C82559" w:rsidRDefault="00C82559" w:rsidP="00787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BookBasic">
    <w:panose1 w:val="00000000000000000000"/>
    <w:charset w:val="00"/>
    <w:family w:val="auto"/>
    <w:notTrueType/>
    <w:pitch w:val="default"/>
    <w:sig w:usb0="00000003" w:usb1="00000000" w:usb2="00000000" w:usb3="00000000" w:csb0="00000001" w:csb1="00000000"/>
  </w:font>
  <w:font w:name="GentiumBookBas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559" w:rsidRDefault="00C82559" w:rsidP="00787C93">
      <w:pPr>
        <w:spacing w:after="0" w:line="240" w:lineRule="auto"/>
      </w:pPr>
      <w:r>
        <w:separator/>
      </w:r>
    </w:p>
  </w:footnote>
  <w:footnote w:type="continuationSeparator" w:id="1">
    <w:p w:rsidR="00C82559" w:rsidRDefault="00C82559" w:rsidP="00787C93">
      <w:pPr>
        <w:spacing w:after="0" w:line="240" w:lineRule="auto"/>
      </w:pPr>
      <w:r>
        <w:continuationSeparator/>
      </w:r>
    </w:p>
  </w:footnote>
  <w:footnote w:id="2">
    <w:p w:rsidR="00787C93" w:rsidRPr="008C563F" w:rsidRDefault="00787C93" w:rsidP="00787C93">
      <w:pPr>
        <w:pStyle w:val="Paragraphedeliste"/>
        <w:autoSpaceDE w:val="0"/>
        <w:autoSpaceDN w:val="0"/>
        <w:adjustRightInd w:val="0"/>
        <w:spacing w:after="0" w:line="240" w:lineRule="auto"/>
        <w:jc w:val="both"/>
        <w:rPr>
          <w:rFonts w:asciiTheme="majorBidi" w:hAnsiTheme="majorBidi" w:cstheme="majorBidi"/>
          <w:i/>
          <w:iCs/>
          <w:sz w:val="18"/>
          <w:szCs w:val="18"/>
        </w:rPr>
      </w:pPr>
      <w:r>
        <w:rPr>
          <w:rStyle w:val="Appelnotedebasdep"/>
        </w:rPr>
        <w:footnoteRef/>
      </w:r>
      <w:r>
        <w:t xml:space="preserve"> </w:t>
      </w:r>
      <w:r w:rsidRPr="008C563F">
        <w:rPr>
          <w:sz w:val="18"/>
          <w:szCs w:val="18"/>
        </w:rPr>
        <w:t>La notion d’objet ne renvoie pas spécialement à quelque chose de palpable, pourvu qu’</w:t>
      </w:r>
      <w:r>
        <w:rPr>
          <w:sz w:val="18"/>
          <w:szCs w:val="18"/>
        </w:rPr>
        <w:t xml:space="preserve">elle désigne des </w:t>
      </w:r>
      <w:r w:rsidRPr="008C563F">
        <w:rPr>
          <w:sz w:val="18"/>
          <w:szCs w:val="18"/>
        </w:rPr>
        <w:t>éléments, faits ou perceptions connus et reconnus par la communauté linguistique comme le précise A. Rousseau (op.cit.) « Le problème de l’existence des choses dans la réalité sensible est secondaire ; la seule condition pour accéder au statut d’objet est d’être objet de connaissance</w:t>
      </w:r>
      <w:r>
        <w:rPr>
          <w:sz w:val="18"/>
          <w:szCs w:val="18"/>
        </w:rPr>
        <w:t> »</w:t>
      </w:r>
      <w:r w:rsidRPr="008C563F">
        <w:rPr>
          <w:sz w:val="18"/>
          <w:szCs w:val="18"/>
        </w:rPr>
        <w:t xml:space="preserve"> </w:t>
      </w:r>
    </w:p>
    <w:p w:rsidR="00787C93" w:rsidRDefault="00787C93" w:rsidP="00787C93">
      <w:pPr>
        <w:pStyle w:val="Notedebasdepage"/>
      </w:pPr>
      <w:r>
        <w:t xml:space="preserve"> </w:t>
      </w:r>
    </w:p>
  </w:footnote>
  <w:footnote w:id="3">
    <w:p w:rsidR="00787C93" w:rsidRPr="002B4762" w:rsidRDefault="00787C93" w:rsidP="00787C93">
      <w:pPr>
        <w:jc w:val="both"/>
        <w:rPr>
          <w:i/>
          <w:iCs/>
          <w:lang w:val="en-US"/>
        </w:rPr>
      </w:pPr>
      <w:r>
        <w:rPr>
          <w:rStyle w:val="Appelnotedebasdep"/>
        </w:rPr>
        <w:footnoteRef/>
      </w:r>
      <w:r>
        <w:t xml:space="preserve"> André Rousseau, 1990, « Quelques aspects de la philosophie du langage (Frege, Husserl, Wittgenstein) et leur incidence en linguistique » in </w:t>
      </w:r>
      <w:r w:rsidRPr="0072579D">
        <w:t xml:space="preserve">Germanica, </w:t>
      </w:r>
      <w:r>
        <w:t xml:space="preserve">[en ligne] </w:t>
      </w:r>
      <w:r w:rsidRPr="0072579D">
        <w:t>8 |</w:t>
      </w:r>
      <w:r>
        <w:t xml:space="preserve">1990, mis en ligne le 15mai 2014, consulté le 31 mars 2018. </w:t>
      </w:r>
      <w:r w:rsidRPr="00CB6365">
        <w:rPr>
          <w:lang w:val="en-US"/>
        </w:rPr>
        <w:t>URL :</w:t>
      </w:r>
      <w:r w:rsidRPr="00CB6365">
        <w:rPr>
          <w:rFonts w:ascii="Times New Roman" w:eastAsia="Times New Roman" w:hAnsi="Times New Roman" w:cs="Times New Roman"/>
          <w:sz w:val="18"/>
          <w:szCs w:val="18"/>
          <w:lang w:val="en-US" w:eastAsia="fr-FR"/>
        </w:rPr>
        <w:t xml:space="preserve"> http://journals.openedition.org/germanica/2472 ; DOI : 10.4000/germanica.2472 </w:t>
      </w:r>
    </w:p>
  </w:footnote>
  <w:footnote w:id="4">
    <w:p w:rsidR="00787C93" w:rsidRPr="00282930" w:rsidRDefault="00787C93" w:rsidP="00787C93">
      <w:pPr>
        <w:pStyle w:val="Notedebasdepage"/>
        <w:rPr>
          <w:i/>
          <w:iCs/>
          <w:lang w:val="en-US"/>
        </w:rPr>
      </w:pPr>
      <w:r>
        <w:rPr>
          <w:rStyle w:val="Appelnotedebasdep"/>
        </w:rPr>
        <w:footnoteRef/>
      </w:r>
      <w:r w:rsidRPr="00CB6365">
        <w:rPr>
          <w:lang w:val="en-US"/>
        </w:rPr>
        <w:t xml:space="preserve"> Dans </w:t>
      </w:r>
      <w:r w:rsidRPr="00CB6365">
        <w:rPr>
          <w:i/>
          <w:iCs/>
          <w:lang w:val="en-US"/>
        </w:rPr>
        <w:t xml:space="preserve">The principles of </w:t>
      </w:r>
      <w:r>
        <w:rPr>
          <w:i/>
          <w:iCs/>
          <w:lang w:val="en-US"/>
        </w:rPr>
        <w:t xml:space="preserve">semantics, </w:t>
      </w:r>
      <w:r w:rsidRPr="00282930">
        <w:rPr>
          <w:lang w:val="en-US"/>
        </w:rPr>
        <w:t>Philosophical Library; Second Edition edition (January 1, 1957)</w:t>
      </w:r>
      <w:r>
        <w:rPr>
          <w:lang w:val="en-US"/>
        </w:rPr>
        <w:t xml:space="preserve"> </w:t>
      </w:r>
    </w:p>
  </w:footnote>
  <w:footnote w:id="5">
    <w:p w:rsidR="00787C93" w:rsidRPr="0072579D" w:rsidRDefault="00787C93" w:rsidP="00787C93">
      <w:pPr>
        <w:pStyle w:val="Notedebasdepage"/>
        <w:rPr>
          <w:i/>
          <w:iCs/>
        </w:rPr>
      </w:pPr>
      <w:r w:rsidRPr="0072579D">
        <w:rPr>
          <w:rStyle w:val="Appelnotedebasdep"/>
          <w:i/>
          <w:iCs/>
        </w:rPr>
        <w:footnoteRef/>
      </w:r>
      <w:r>
        <w:rPr>
          <w:i/>
          <w:iCs/>
        </w:rPr>
        <w:t xml:space="preserve"> </w:t>
      </w:r>
      <w:r w:rsidRPr="00CB6365">
        <w:t>André Rousseau</w:t>
      </w:r>
      <w:r>
        <w:rPr>
          <w:i/>
          <w:iCs/>
        </w:rPr>
        <w:t xml:space="preserve"> op.cit.</w:t>
      </w:r>
    </w:p>
  </w:footnote>
  <w:footnote w:id="6">
    <w:p w:rsidR="00787C93" w:rsidRDefault="00787C93" w:rsidP="00787C93">
      <w:pPr>
        <w:pStyle w:val="Notedebasdepage"/>
      </w:pPr>
      <w:r>
        <w:rPr>
          <w:rStyle w:val="Appelnotedebasdep"/>
        </w:rPr>
        <w:footnoteRef/>
      </w:r>
      <w:r>
        <w:t xml:space="preserve"> </w:t>
      </w:r>
      <w:r w:rsidRPr="00686A07">
        <w:rPr>
          <w:i/>
          <w:iCs/>
        </w:rPr>
        <w:t>ibid</w:t>
      </w:r>
    </w:p>
  </w:footnote>
  <w:footnote w:id="7">
    <w:p w:rsidR="00787C93" w:rsidRDefault="00787C93" w:rsidP="00787C93">
      <w:pPr>
        <w:pStyle w:val="Notedebasdepage"/>
      </w:pPr>
      <w:r>
        <w:rPr>
          <w:rStyle w:val="Appelnotedebasdep"/>
        </w:rPr>
        <w:footnoteRef/>
      </w:r>
      <w:r>
        <w:t xml:space="preserve">  Dans son article </w:t>
      </w:r>
      <w:r>
        <w:rPr>
          <w:rFonts w:ascii="GentiumBookBasic-Italic" w:hAnsi="GentiumBookBasic-Italic" w:cs="GentiumBookBasic-Italic"/>
          <w:i/>
          <w:iCs/>
        </w:rPr>
        <w:t xml:space="preserve">Über Sinn und Bedeutung </w:t>
      </w:r>
      <w:r>
        <w:rPr>
          <w:rFonts w:ascii="GentiumBookBasic" w:hAnsi="GentiumBookBasic" w:cs="GentiumBookBasic"/>
        </w:rPr>
        <w:t xml:space="preserve">(1892), cité par André Rousseau, </w:t>
      </w:r>
      <w:r w:rsidRPr="006C4012">
        <w:rPr>
          <w:rFonts w:ascii="GentiumBookBasic" w:hAnsi="GentiumBookBasic" w:cs="GentiumBookBasic"/>
          <w:i/>
          <w:iCs/>
        </w:rPr>
        <w:t>op.cit</w:t>
      </w:r>
      <w:r>
        <w:rPr>
          <w:rFonts w:ascii="GentiumBookBasic" w:hAnsi="GentiumBookBasic" w:cs="GentiumBookBasic"/>
        </w:rPr>
        <w:t>.</w:t>
      </w:r>
    </w:p>
  </w:footnote>
  <w:footnote w:id="8">
    <w:p w:rsidR="00787C93" w:rsidRDefault="00787C93" w:rsidP="00787C93">
      <w:pPr>
        <w:pStyle w:val="Notedebasdepage"/>
      </w:pPr>
      <w:r>
        <w:rPr>
          <w:rStyle w:val="Appelnotedebasdep"/>
        </w:rPr>
        <w:footnoteRef/>
      </w:r>
      <w:r>
        <w:t xml:space="preserve"> Ibid,p. 46 de l’édition allemande, cité par A. Rousseau, </w:t>
      </w:r>
      <w:r w:rsidRPr="006C4012">
        <w:rPr>
          <w:i/>
          <w:iCs/>
        </w:rPr>
        <w:t>op.cit</w:t>
      </w:r>
      <w:r>
        <w:t xml:space="preserve">. </w:t>
      </w:r>
    </w:p>
  </w:footnote>
  <w:footnote w:id="9">
    <w:p w:rsidR="00787C93" w:rsidRDefault="00787C93" w:rsidP="00787C93">
      <w:pPr>
        <w:pStyle w:val="Notedebasdepage"/>
      </w:pPr>
      <w:r>
        <w:rPr>
          <w:rStyle w:val="Appelnotedebasdep"/>
        </w:rPr>
        <w:footnoteRef/>
      </w:r>
      <w:r>
        <w:t xml:space="preserve"> J ; Lyons, (…),» (</w:t>
      </w:r>
      <w:r>
        <w:rPr>
          <w:rStyle w:val="Accentuation"/>
        </w:rPr>
        <w:t xml:space="preserve">Linguistique générale </w:t>
      </w:r>
      <w:r>
        <w:t xml:space="preserve">p. 326 s.) , cité par A. Rousseau, </w:t>
      </w:r>
      <w:r w:rsidRPr="00801B62">
        <w:rPr>
          <w:i/>
          <w:iCs/>
        </w:rPr>
        <w:t>op. cit</w:t>
      </w:r>
      <w:r>
        <w:t>.</w:t>
      </w:r>
    </w:p>
  </w:footnote>
  <w:footnote w:id="10">
    <w:p w:rsidR="00787C93" w:rsidRPr="00977CF7" w:rsidRDefault="00787C93" w:rsidP="00787C93">
      <w:pPr>
        <w:autoSpaceDE w:val="0"/>
        <w:autoSpaceDN w:val="0"/>
        <w:adjustRightInd w:val="0"/>
        <w:spacing w:after="0" w:line="240" w:lineRule="auto"/>
        <w:rPr>
          <w:rFonts w:asciiTheme="majorBidi" w:hAnsiTheme="majorBidi" w:cstheme="majorBidi"/>
          <w:sz w:val="32"/>
          <w:szCs w:val="32"/>
        </w:rPr>
      </w:pPr>
      <w:r>
        <w:rPr>
          <w:rStyle w:val="Appelnotedebasdep"/>
        </w:rPr>
        <w:footnoteRef/>
      </w:r>
      <w:r w:rsidRPr="00977CF7">
        <w:t xml:space="preserve"> D. Wunderlich, (…),</w:t>
      </w:r>
      <w:r w:rsidRPr="00977CF7">
        <w:rPr>
          <w:rStyle w:val="Accentuation"/>
        </w:rPr>
        <w:t>Arbeitsbuch Semantik, passim</w:t>
      </w:r>
      <w:r w:rsidRPr="00977CF7">
        <w:t xml:space="preserve">), cité par A. Rousseau, </w:t>
      </w:r>
      <w:r w:rsidRPr="00977CF7">
        <w:rPr>
          <w:i/>
          <w:iCs/>
        </w:rPr>
        <w:t>op.cit</w:t>
      </w:r>
      <w:r w:rsidRPr="00977CF7">
        <w:t xml:space="preserve">. </w:t>
      </w:r>
    </w:p>
    <w:p w:rsidR="00787C93" w:rsidRPr="00977CF7" w:rsidRDefault="00787C93" w:rsidP="00787C93"/>
    <w:p w:rsidR="00787C93" w:rsidRPr="00977CF7" w:rsidRDefault="00787C93" w:rsidP="00787C93">
      <w:pPr>
        <w:pStyle w:val="Notedebasdepage"/>
      </w:pPr>
      <w:r w:rsidRPr="00977CF7">
        <w:t xml:space="preserve"> </w:t>
      </w:r>
    </w:p>
  </w:footnote>
  <w:footnote w:id="11">
    <w:p w:rsidR="00787C93" w:rsidRDefault="00787C93" w:rsidP="00787C93">
      <w:pPr>
        <w:pStyle w:val="Notedebasdepage"/>
      </w:pPr>
      <w:r>
        <w:rPr>
          <w:rStyle w:val="Appelnotedebasdep"/>
        </w:rPr>
        <w:footnoteRef/>
      </w:r>
      <w:r>
        <w:t xml:space="preserve"> Voir Pierre Patrick HAILLET, 2007, Linguistique des représentations discursives », De Boeck.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F1"/>
    <w:multiLevelType w:val="hybridMultilevel"/>
    <w:tmpl w:val="35DA3B86"/>
    <w:lvl w:ilvl="0" w:tplc="068EC8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702E59"/>
    <w:multiLevelType w:val="hybridMultilevel"/>
    <w:tmpl w:val="3042AFC2"/>
    <w:lvl w:ilvl="0" w:tplc="FF16A4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EE03B6"/>
    <w:multiLevelType w:val="hybridMultilevel"/>
    <w:tmpl w:val="D7A2FF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7C93"/>
    <w:rsid w:val="00062787"/>
    <w:rsid w:val="00677C0F"/>
    <w:rsid w:val="00787C93"/>
    <w:rsid w:val="007C6455"/>
    <w:rsid w:val="008C1DA4"/>
    <w:rsid w:val="00A4167F"/>
    <w:rsid w:val="00C82559"/>
    <w:rsid w:val="00FB2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C93"/>
    <w:pPr>
      <w:ind w:left="720"/>
      <w:contextualSpacing/>
    </w:pPr>
  </w:style>
  <w:style w:type="paragraph" w:styleId="Notedebasdepage">
    <w:name w:val="footnote text"/>
    <w:basedOn w:val="Normal"/>
    <w:link w:val="NotedebasdepageCar"/>
    <w:uiPriority w:val="99"/>
    <w:semiHidden/>
    <w:unhideWhenUsed/>
    <w:rsid w:val="00787C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C93"/>
    <w:rPr>
      <w:sz w:val="20"/>
      <w:szCs w:val="20"/>
    </w:rPr>
  </w:style>
  <w:style w:type="character" w:styleId="Appelnotedebasdep">
    <w:name w:val="footnote reference"/>
    <w:basedOn w:val="Policepardfaut"/>
    <w:uiPriority w:val="99"/>
    <w:semiHidden/>
    <w:unhideWhenUsed/>
    <w:rsid w:val="00787C93"/>
    <w:rPr>
      <w:vertAlign w:val="superscript"/>
    </w:rPr>
  </w:style>
  <w:style w:type="character" w:styleId="Accentuation">
    <w:name w:val="Emphasis"/>
    <w:basedOn w:val="Policepardfaut"/>
    <w:uiPriority w:val="20"/>
    <w:qFormat/>
    <w:rsid w:val="00787C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1311</Words>
  <Characters>7212</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2020-04-26T11:30:00Z</dcterms:created>
  <dcterms:modified xsi:type="dcterms:W3CDTF">2020-04-26T11:53:00Z</dcterms:modified>
</cp:coreProperties>
</file>