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48" w:rsidRDefault="002F1548" w:rsidP="002F1548">
      <w:pPr>
        <w:jc w:val="both"/>
        <w:rPr>
          <w:rFonts w:asciiTheme="majorBidi" w:hAnsiTheme="majorBidi" w:cstheme="majorBidi"/>
          <w:b/>
          <w:bCs/>
          <w:sz w:val="32"/>
          <w:szCs w:val="32"/>
        </w:rPr>
      </w:pPr>
      <w:r>
        <w:rPr>
          <w:rFonts w:asciiTheme="majorBidi" w:hAnsiTheme="majorBidi" w:cstheme="majorBidi"/>
          <w:b/>
          <w:bCs/>
          <w:sz w:val="32"/>
          <w:szCs w:val="32"/>
        </w:rPr>
        <w:t>Thématique : sémantique de la référence</w:t>
      </w:r>
    </w:p>
    <w:p w:rsidR="001A4AC1" w:rsidRDefault="001A4AC1" w:rsidP="002F1548">
      <w:pPr>
        <w:jc w:val="both"/>
        <w:rPr>
          <w:rFonts w:asciiTheme="majorBidi" w:hAnsiTheme="majorBidi" w:cstheme="majorBidi"/>
          <w:b/>
          <w:bCs/>
          <w:sz w:val="32"/>
          <w:szCs w:val="32"/>
        </w:rPr>
      </w:pPr>
      <w:r>
        <w:rPr>
          <w:rFonts w:asciiTheme="majorBidi" w:hAnsiTheme="majorBidi" w:cstheme="majorBidi"/>
          <w:b/>
          <w:bCs/>
          <w:sz w:val="32"/>
          <w:szCs w:val="32"/>
        </w:rPr>
        <w:t>Enseignante :K. MERINE</w:t>
      </w:r>
    </w:p>
    <w:p w:rsidR="002F1548" w:rsidRPr="00074C6E" w:rsidRDefault="002F1548" w:rsidP="002F1548">
      <w:pPr>
        <w:jc w:val="both"/>
        <w:rPr>
          <w:rFonts w:asciiTheme="majorBidi" w:hAnsiTheme="majorBidi" w:cstheme="majorBidi"/>
          <w:b/>
          <w:bCs/>
          <w:sz w:val="32"/>
          <w:szCs w:val="32"/>
        </w:rPr>
      </w:pPr>
      <w:r>
        <w:rPr>
          <w:rFonts w:asciiTheme="majorBidi" w:hAnsiTheme="majorBidi" w:cstheme="majorBidi"/>
          <w:b/>
          <w:bCs/>
          <w:sz w:val="32"/>
          <w:szCs w:val="32"/>
        </w:rPr>
        <w:t>Section</w:t>
      </w:r>
      <w:r w:rsidR="00C353BB">
        <w:rPr>
          <w:rFonts w:asciiTheme="majorBidi" w:hAnsiTheme="majorBidi" w:cstheme="majorBidi"/>
          <w:b/>
          <w:bCs/>
          <w:sz w:val="32"/>
          <w:szCs w:val="32"/>
        </w:rPr>
        <w:t xml:space="preserve"> n°3</w:t>
      </w:r>
    </w:p>
    <w:p w:rsidR="002F1548" w:rsidRDefault="002F1548" w:rsidP="002F1548">
      <w:pPr>
        <w:pStyle w:val="Paragraphedeliste"/>
        <w:numPr>
          <w:ilvl w:val="0"/>
          <w:numId w:val="1"/>
        </w:numPr>
        <w:jc w:val="both"/>
        <w:rPr>
          <w:rFonts w:asciiTheme="majorBidi" w:hAnsiTheme="majorBidi" w:cstheme="majorBidi"/>
          <w:b/>
          <w:bCs/>
          <w:sz w:val="32"/>
          <w:szCs w:val="32"/>
        </w:rPr>
      </w:pPr>
      <w:r w:rsidRPr="006F5390">
        <w:rPr>
          <w:rFonts w:asciiTheme="majorBidi" w:hAnsiTheme="majorBidi" w:cstheme="majorBidi"/>
          <w:b/>
          <w:bCs/>
          <w:sz w:val="32"/>
          <w:szCs w:val="32"/>
        </w:rPr>
        <w:t>Sens univoque et sens biunivoque et</w:t>
      </w:r>
      <w:r>
        <w:rPr>
          <w:rFonts w:asciiTheme="majorBidi" w:hAnsiTheme="majorBidi" w:cstheme="majorBidi"/>
          <w:b/>
          <w:bCs/>
          <w:sz w:val="32"/>
          <w:szCs w:val="32"/>
        </w:rPr>
        <w:t>/</w:t>
      </w:r>
      <w:r w:rsidRPr="006F5390">
        <w:rPr>
          <w:rFonts w:asciiTheme="majorBidi" w:hAnsiTheme="majorBidi" w:cstheme="majorBidi"/>
          <w:b/>
          <w:bCs/>
          <w:sz w:val="32"/>
          <w:szCs w:val="32"/>
        </w:rPr>
        <w:t>ou plurivoque</w:t>
      </w:r>
    </w:p>
    <w:p w:rsidR="002F1548" w:rsidRDefault="002F1548" w:rsidP="002F1548">
      <w:pPr>
        <w:jc w:val="both"/>
        <w:rPr>
          <w:rFonts w:asciiTheme="majorBidi" w:hAnsiTheme="majorBidi" w:cstheme="majorBidi"/>
          <w:sz w:val="32"/>
          <w:szCs w:val="32"/>
        </w:rPr>
      </w:pPr>
      <w:r w:rsidRPr="006F5390">
        <w:rPr>
          <w:rFonts w:asciiTheme="majorBidi" w:hAnsiTheme="majorBidi" w:cstheme="majorBidi"/>
          <w:sz w:val="32"/>
          <w:szCs w:val="32"/>
        </w:rPr>
        <w:t xml:space="preserve">La </w:t>
      </w:r>
      <w:r>
        <w:rPr>
          <w:rFonts w:asciiTheme="majorBidi" w:hAnsiTheme="majorBidi" w:cstheme="majorBidi"/>
          <w:sz w:val="32"/>
          <w:szCs w:val="32"/>
        </w:rPr>
        <w:t>théorie de Saussure a défini le signe linguistique comme étant l’association de deux entités indissociables qui sont le signifiant et le signifié (1SL=1Sa+1Sé), le Sa serait la forme et le Sé le sens. Mais est-ce que toute forme linguistique renvoie à un sens et un seul ?</w:t>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t>En langue comme en discours, toute forme linguistique est susceptible d’avoir un sens pluriel, et cela se justifie à tous les niveaux des formes verbales à commencer par les mots. Cela a permis aux recherches lexicologiques de mettre le sens comme élément de catégorisation des mots qui se distinguent soit par des formes, soit par des sens particuliers. L’analyse des mots répertoriés d’une langue et considérés sur la base du rapport sens/forme (F/S) a laissé apparaitre trois catégories :</w:t>
      </w:r>
    </w:p>
    <w:p w:rsidR="002F1548" w:rsidRPr="002D57A6" w:rsidRDefault="002F1548" w:rsidP="002F1548">
      <w:pPr>
        <w:pStyle w:val="Paragraphedeliste"/>
        <w:numPr>
          <w:ilvl w:val="0"/>
          <w:numId w:val="3"/>
        </w:numPr>
        <w:jc w:val="both"/>
        <w:rPr>
          <w:rFonts w:asciiTheme="majorBidi" w:hAnsiTheme="majorBidi" w:cstheme="majorBidi"/>
          <w:b/>
          <w:bCs/>
          <w:i/>
          <w:iCs/>
          <w:sz w:val="32"/>
          <w:szCs w:val="32"/>
        </w:rPr>
      </w:pPr>
      <w:r>
        <w:rPr>
          <w:rFonts w:asciiTheme="majorBidi" w:hAnsiTheme="majorBidi" w:cstheme="majorBidi"/>
          <w:sz w:val="32"/>
          <w:szCs w:val="32"/>
        </w:rPr>
        <w:t>1F</w:t>
      </w:r>
      <w:r w:rsidRPr="00E75411">
        <w:rPr>
          <w:rFonts w:asciiTheme="majorBidi" w:hAnsiTheme="majorBidi" w:cstheme="majorBidi"/>
          <w:sz w:val="32"/>
          <w:szCs w:val="32"/>
        </w:rPr>
        <w:sym w:font="Wingdings" w:char="F0E0"/>
      </w:r>
      <w:r w:rsidRPr="00682726">
        <w:rPr>
          <w:rFonts w:asciiTheme="majorBidi" w:hAnsiTheme="majorBidi" w:cstheme="majorBidi"/>
          <w:sz w:val="32"/>
          <w:szCs w:val="32"/>
        </w:rPr>
        <w:t xml:space="preserve">1S. Ce sont les mots </w:t>
      </w:r>
      <w:r w:rsidRPr="00682726">
        <w:rPr>
          <w:rFonts w:asciiTheme="majorBidi" w:hAnsiTheme="majorBidi" w:cstheme="majorBidi"/>
          <w:b/>
          <w:bCs/>
          <w:sz w:val="32"/>
          <w:szCs w:val="32"/>
        </w:rPr>
        <w:t>monosémiques</w:t>
      </w:r>
      <w:r>
        <w:rPr>
          <w:rFonts w:asciiTheme="majorBidi" w:hAnsiTheme="majorBidi" w:cstheme="majorBidi"/>
          <w:sz w:val="32"/>
          <w:szCs w:val="32"/>
        </w:rPr>
        <w:t>, leur nombre est peu important par rapport à ceux des autres catégories, ils concernent les mots d’aspect scientifique et technique (</w:t>
      </w:r>
      <w:r w:rsidRPr="002D57A6">
        <w:rPr>
          <w:rFonts w:asciiTheme="majorBidi" w:hAnsiTheme="majorBidi" w:cstheme="majorBidi"/>
          <w:i/>
          <w:iCs/>
          <w:sz w:val="32"/>
          <w:szCs w:val="32"/>
        </w:rPr>
        <w:t>ex : un stéthoscope, une guitare, un rabot, une césarienne, une fibroscopie</w:t>
      </w:r>
      <w:r>
        <w:rPr>
          <w:rFonts w:asciiTheme="majorBidi" w:hAnsiTheme="majorBidi" w:cstheme="majorBidi"/>
          <w:sz w:val="32"/>
          <w:szCs w:val="32"/>
        </w:rPr>
        <w:t xml:space="preserve">). On dit que leur sens est </w:t>
      </w:r>
      <w:r w:rsidRPr="002D57A6">
        <w:rPr>
          <w:rFonts w:asciiTheme="majorBidi" w:hAnsiTheme="majorBidi" w:cstheme="majorBidi"/>
          <w:b/>
          <w:bCs/>
          <w:sz w:val="32"/>
          <w:szCs w:val="32"/>
        </w:rPr>
        <w:t>univoque</w:t>
      </w:r>
      <w:r>
        <w:rPr>
          <w:rFonts w:asciiTheme="majorBidi" w:hAnsiTheme="majorBidi" w:cstheme="majorBidi"/>
          <w:b/>
          <w:bCs/>
          <w:sz w:val="32"/>
          <w:szCs w:val="32"/>
        </w:rPr>
        <w:t>.</w:t>
      </w:r>
    </w:p>
    <w:p w:rsidR="002F1548" w:rsidRPr="00E75411" w:rsidRDefault="002F1548" w:rsidP="002F1548">
      <w:pPr>
        <w:pStyle w:val="Paragraphedeliste"/>
        <w:numPr>
          <w:ilvl w:val="0"/>
          <w:numId w:val="3"/>
        </w:numPr>
        <w:jc w:val="both"/>
        <w:rPr>
          <w:rFonts w:asciiTheme="majorBidi" w:hAnsiTheme="majorBidi" w:cstheme="majorBidi"/>
          <w:b/>
          <w:bCs/>
          <w:i/>
          <w:iCs/>
          <w:sz w:val="32"/>
          <w:szCs w:val="32"/>
        </w:rPr>
      </w:pPr>
      <w:r>
        <w:rPr>
          <w:rFonts w:asciiTheme="majorBidi" w:hAnsiTheme="majorBidi" w:cstheme="majorBidi"/>
          <w:sz w:val="32"/>
          <w:szCs w:val="32"/>
        </w:rPr>
        <w:t>1F</w:t>
      </w:r>
      <w:r w:rsidRPr="00E75411">
        <w:rPr>
          <w:rFonts w:asciiTheme="majorBidi" w:hAnsiTheme="majorBidi" w:cstheme="majorBidi"/>
          <w:sz w:val="32"/>
          <w:szCs w:val="32"/>
        </w:rPr>
        <w:sym w:font="Wingdings" w:char="F0E0"/>
      </w:r>
      <w:r>
        <w:rPr>
          <w:rFonts w:asciiTheme="majorBidi" w:hAnsiTheme="majorBidi" w:cstheme="majorBidi"/>
          <w:sz w:val="32"/>
          <w:szCs w:val="32"/>
        </w:rPr>
        <w:t>2S, 3S…NS. Ce cas de figure lui-même renvoie à deux sous catégories :</w:t>
      </w:r>
    </w:p>
    <w:p w:rsidR="002F1548" w:rsidRPr="00E75411" w:rsidRDefault="002F1548" w:rsidP="002F1548">
      <w:pPr>
        <w:pStyle w:val="Paragraphedeliste"/>
        <w:numPr>
          <w:ilvl w:val="0"/>
          <w:numId w:val="2"/>
        </w:numPr>
        <w:jc w:val="both"/>
        <w:rPr>
          <w:rFonts w:asciiTheme="majorBidi" w:hAnsiTheme="majorBidi" w:cstheme="majorBidi"/>
          <w:b/>
          <w:bCs/>
          <w:i/>
          <w:iCs/>
          <w:sz w:val="32"/>
          <w:szCs w:val="32"/>
        </w:rPr>
      </w:pPr>
      <w:r>
        <w:rPr>
          <w:rFonts w:asciiTheme="majorBidi" w:hAnsiTheme="majorBidi" w:cstheme="majorBidi"/>
          <w:b/>
          <w:bCs/>
          <w:sz w:val="32"/>
          <w:szCs w:val="32"/>
        </w:rPr>
        <w:t>Les mots polysémiques</w:t>
      </w:r>
    </w:p>
    <w:p w:rsidR="002F1548" w:rsidRPr="00E75411" w:rsidRDefault="002F1548" w:rsidP="002F1548">
      <w:pPr>
        <w:pStyle w:val="Paragraphedeliste"/>
        <w:numPr>
          <w:ilvl w:val="0"/>
          <w:numId w:val="2"/>
        </w:numPr>
        <w:jc w:val="both"/>
        <w:rPr>
          <w:rFonts w:asciiTheme="majorBidi" w:hAnsiTheme="majorBidi" w:cstheme="majorBidi"/>
          <w:b/>
          <w:bCs/>
          <w:i/>
          <w:iCs/>
          <w:sz w:val="32"/>
          <w:szCs w:val="32"/>
        </w:rPr>
      </w:pPr>
      <w:r>
        <w:rPr>
          <w:rFonts w:asciiTheme="majorBidi" w:hAnsiTheme="majorBidi" w:cstheme="majorBidi"/>
          <w:b/>
          <w:bCs/>
          <w:sz w:val="32"/>
          <w:szCs w:val="32"/>
        </w:rPr>
        <w:t>Les mots homonymes</w:t>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t>Les premiers réunissent tous les mots dont la forme suggère plusieurs sens différents certes, mais rattachés par un ou deux sèmes en commun :</w:t>
      </w:r>
    </w:p>
    <w:p w:rsidR="002F1548" w:rsidRPr="009234A6" w:rsidRDefault="002F1548" w:rsidP="002F1548">
      <w:pPr>
        <w:ind w:left="360"/>
        <w:jc w:val="both"/>
        <w:rPr>
          <w:rFonts w:asciiTheme="majorBidi" w:hAnsiTheme="majorBidi" w:cstheme="majorBidi"/>
          <w:sz w:val="32"/>
          <w:szCs w:val="32"/>
        </w:rPr>
      </w:pPr>
      <w:r>
        <w:rPr>
          <w:rFonts w:asciiTheme="majorBidi" w:hAnsiTheme="majorBidi" w:cstheme="majorBidi"/>
          <w:sz w:val="32"/>
          <w:szCs w:val="32"/>
        </w:rPr>
        <w:lastRenderedPageBreak/>
        <w:t xml:space="preserve">Exemple : le mot </w:t>
      </w:r>
      <w:r w:rsidRPr="00457E08">
        <w:rPr>
          <w:rFonts w:asciiTheme="majorBidi" w:hAnsiTheme="majorBidi" w:cstheme="majorBidi"/>
          <w:i/>
          <w:iCs/>
          <w:sz w:val="32"/>
          <w:szCs w:val="32"/>
        </w:rPr>
        <w:t>opération</w:t>
      </w:r>
      <w:r>
        <w:rPr>
          <w:rFonts w:asciiTheme="majorBidi" w:hAnsiTheme="majorBidi" w:cstheme="majorBidi"/>
          <w:i/>
          <w:iCs/>
          <w:sz w:val="32"/>
          <w:szCs w:val="32"/>
        </w:rPr>
        <w:t> ;</w:t>
      </w:r>
      <w:r>
        <w:rPr>
          <w:rFonts w:asciiTheme="majorBidi" w:hAnsiTheme="majorBidi" w:cstheme="majorBidi"/>
          <w:sz w:val="32"/>
          <w:szCs w:val="32"/>
        </w:rPr>
        <w:t xml:space="preserve"> seul, il ne réfère qu’à une technique ou entreprise étudiée (sème en commun), son référent n’est pas cerné, pour qu’il le soit il faut le faire accompagner d’un adjectif déterminatif précisant son sens. Ainsi, on aura : </w:t>
      </w:r>
      <w:r w:rsidRPr="00457E08">
        <w:rPr>
          <w:rFonts w:asciiTheme="majorBidi" w:hAnsiTheme="majorBidi" w:cstheme="majorBidi"/>
          <w:i/>
          <w:iCs/>
          <w:sz w:val="32"/>
          <w:szCs w:val="32"/>
        </w:rPr>
        <w:t>opération chirurgicale / opération mathématique / opération militaire / etc.</w:t>
      </w:r>
      <w:r>
        <w:rPr>
          <w:rFonts w:asciiTheme="majorBidi" w:hAnsiTheme="majorBidi" w:cstheme="majorBidi"/>
          <w:sz w:val="32"/>
          <w:szCs w:val="32"/>
        </w:rPr>
        <w:t xml:space="preserve"> Le mot « opération » est donc polysémique.</w:t>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t>Les deuxièmes renvoient aux mots qui ont le même signifiant mais dont les sens sont totalement différents, avec aucun sème en commun.</w:t>
      </w:r>
    </w:p>
    <w:p w:rsidR="002F1548" w:rsidRPr="00B34F77" w:rsidRDefault="002F1548" w:rsidP="002F1548">
      <w:pPr>
        <w:jc w:val="both"/>
        <w:rPr>
          <w:rFonts w:asciiTheme="majorBidi" w:hAnsiTheme="majorBidi" w:cstheme="majorBidi"/>
          <w:b/>
          <w:bCs/>
          <w:sz w:val="32"/>
          <w:szCs w:val="32"/>
        </w:rPr>
      </w:pPr>
      <w:r>
        <w:rPr>
          <w:rFonts w:asciiTheme="majorBidi" w:hAnsiTheme="majorBidi" w:cstheme="majorBidi"/>
          <w:sz w:val="32"/>
          <w:szCs w:val="32"/>
        </w:rPr>
        <w:t xml:space="preserve">Exemple : moule (le mollusque/le récipient) ; avocat (le métier/le fruit). Ce sont des </w:t>
      </w:r>
      <w:r w:rsidRPr="00B34F77">
        <w:rPr>
          <w:rFonts w:asciiTheme="majorBidi" w:hAnsiTheme="majorBidi" w:cstheme="majorBidi"/>
          <w:b/>
          <w:bCs/>
          <w:sz w:val="32"/>
          <w:szCs w:val="32"/>
        </w:rPr>
        <w:t>homonymes</w:t>
      </w:r>
      <w:r>
        <w:rPr>
          <w:rFonts w:asciiTheme="majorBidi" w:hAnsiTheme="majorBidi" w:cstheme="majorBidi"/>
          <w:b/>
          <w:bCs/>
          <w:sz w:val="32"/>
          <w:szCs w:val="32"/>
        </w:rPr>
        <w:t>.</w:t>
      </w:r>
    </w:p>
    <w:p w:rsidR="002F1548" w:rsidRDefault="002F1548" w:rsidP="002F1548">
      <w:pPr>
        <w:jc w:val="both"/>
        <w:rPr>
          <w:rFonts w:asciiTheme="majorBidi" w:hAnsiTheme="majorBidi" w:cstheme="majorBidi"/>
          <w:b/>
          <w:bCs/>
          <w:sz w:val="32"/>
          <w:szCs w:val="32"/>
        </w:rPr>
      </w:pPr>
      <w:r>
        <w:rPr>
          <w:rFonts w:asciiTheme="majorBidi" w:hAnsiTheme="majorBidi" w:cstheme="majorBidi"/>
          <w:sz w:val="32"/>
          <w:szCs w:val="32"/>
        </w:rPr>
        <w:t xml:space="preserve"> Ce signifiant commun peut être le signifiant sonore uniquement, les mots qui se le partagent sont appelés </w:t>
      </w:r>
      <w:r w:rsidRPr="009234A6">
        <w:rPr>
          <w:rFonts w:asciiTheme="majorBidi" w:hAnsiTheme="majorBidi" w:cstheme="majorBidi"/>
          <w:b/>
          <w:bCs/>
          <w:sz w:val="32"/>
          <w:szCs w:val="32"/>
        </w:rPr>
        <w:t>: homophones</w:t>
      </w:r>
    </w:p>
    <w:p w:rsidR="002F1548" w:rsidRPr="00936BC7" w:rsidRDefault="002F1548" w:rsidP="002F1548">
      <w:pPr>
        <w:jc w:val="both"/>
        <w:rPr>
          <w:rFonts w:asciiTheme="majorBidi" w:eastAsia="Times New Roman" w:hAnsiTheme="majorBidi" w:cstheme="majorBidi"/>
          <w:sz w:val="32"/>
          <w:szCs w:val="32"/>
          <w:lang w:eastAsia="fr-FR"/>
        </w:rPr>
      </w:pPr>
      <w:r w:rsidRPr="00936BC7">
        <w:rPr>
          <w:rFonts w:asciiTheme="majorBidi" w:hAnsiTheme="majorBidi" w:cstheme="majorBidi"/>
          <w:sz w:val="32"/>
          <w:szCs w:val="32"/>
        </w:rPr>
        <w:t>Exemple : [</w:t>
      </w:r>
      <w:r w:rsidRPr="00936BC7">
        <w:rPr>
          <w:rFonts w:asciiTheme="majorBidi" w:eastAsia="Times New Roman" w:hAnsiTheme="majorBidi" w:cstheme="majorBidi"/>
          <w:sz w:val="32"/>
          <w:szCs w:val="32"/>
          <w:lang w:eastAsia="fr-FR"/>
        </w:rPr>
        <w:t>ɛʁ ]</w:t>
      </w:r>
      <w:r w:rsidRPr="00936BC7">
        <w:rPr>
          <w:rFonts w:asciiTheme="majorBidi" w:eastAsia="Times New Roman" w:hAnsiTheme="majorBidi" w:cstheme="majorBidi"/>
          <w:sz w:val="23"/>
          <w:szCs w:val="23"/>
          <w:lang w:eastAsia="fr-FR"/>
        </w:rPr>
        <w:t xml:space="preserve">  </w:t>
      </w:r>
      <w:r w:rsidRPr="00936BC7">
        <w:rPr>
          <w:rFonts w:asciiTheme="majorBidi" w:eastAsia="Times New Roman" w:hAnsiTheme="majorBidi" w:cstheme="majorBidi"/>
          <w:sz w:val="32"/>
          <w:szCs w:val="32"/>
          <w:lang w:eastAsia="fr-FR"/>
        </w:rPr>
        <w:t>(r, er, ère, erre, hère, haire, air, aire)</w:t>
      </w:r>
    </w:p>
    <w:p w:rsidR="002F1548" w:rsidRPr="00936BC7" w:rsidRDefault="002F1548" w:rsidP="002F1548">
      <w:pPr>
        <w:jc w:val="both"/>
        <w:rPr>
          <w:rFonts w:asciiTheme="majorBidi" w:eastAsia="Times New Roman" w:hAnsiTheme="majorBidi" w:cstheme="majorBidi"/>
          <w:b/>
          <w:bCs/>
          <w:sz w:val="32"/>
          <w:szCs w:val="32"/>
          <w:lang w:eastAsia="fr-FR"/>
        </w:rPr>
      </w:pPr>
      <w:r w:rsidRPr="00936BC7">
        <w:rPr>
          <w:rFonts w:asciiTheme="majorBidi" w:eastAsia="Times New Roman" w:hAnsiTheme="majorBidi" w:cstheme="majorBidi"/>
          <w:sz w:val="32"/>
          <w:szCs w:val="32"/>
          <w:lang w:eastAsia="fr-FR"/>
        </w:rPr>
        <w:t xml:space="preserve">Quand le signifiant commun est graphique, les termes sont dits </w:t>
      </w:r>
      <w:r w:rsidRPr="00936BC7">
        <w:rPr>
          <w:rFonts w:asciiTheme="majorBidi" w:eastAsia="Times New Roman" w:hAnsiTheme="majorBidi" w:cstheme="majorBidi"/>
          <w:b/>
          <w:bCs/>
          <w:sz w:val="32"/>
          <w:szCs w:val="32"/>
          <w:lang w:eastAsia="fr-FR"/>
        </w:rPr>
        <w:t>homographes</w:t>
      </w:r>
    </w:p>
    <w:p w:rsidR="002F1548" w:rsidRPr="00936BC7" w:rsidRDefault="002F1548" w:rsidP="002F1548">
      <w:pPr>
        <w:jc w:val="both"/>
        <w:rPr>
          <w:rFonts w:asciiTheme="majorBidi" w:eastAsia="Times New Roman" w:hAnsiTheme="majorBidi" w:cstheme="majorBidi"/>
          <w:sz w:val="32"/>
          <w:szCs w:val="32"/>
          <w:lang w:eastAsia="fr-FR"/>
        </w:rPr>
      </w:pPr>
      <w:r w:rsidRPr="00936BC7">
        <w:rPr>
          <w:rFonts w:asciiTheme="majorBidi" w:eastAsia="Times New Roman" w:hAnsiTheme="majorBidi" w:cstheme="majorBidi"/>
          <w:sz w:val="32"/>
          <w:szCs w:val="32"/>
          <w:lang w:eastAsia="fr-FR"/>
        </w:rPr>
        <w:t xml:space="preserve">Exemple : </w:t>
      </w:r>
      <w:r w:rsidRPr="00936BC7">
        <w:rPr>
          <w:rFonts w:asciiTheme="majorBidi" w:eastAsia="Times New Roman" w:hAnsiTheme="majorBidi" w:cstheme="majorBidi"/>
          <w:i/>
          <w:iCs/>
          <w:sz w:val="32"/>
          <w:szCs w:val="32"/>
          <w:lang w:eastAsia="fr-FR"/>
        </w:rPr>
        <w:t>est</w:t>
      </w:r>
      <w:r w:rsidRPr="00936BC7">
        <w:rPr>
          <w:rFonts w:asciiTheme="majorBidi" w:eastAsia="Times New Roman" w:hAnsiTheme="majorBidi" w:cstheme="majorBidi"/>
          <w:sz w:val="32"/>
          <w:szCs w:val="32"/>
          <w:lang w:eastAsia="fr-FR"/>
        </w:rPr>
        <w:t xml:space="preserve"> [ɛ ] (le verbe être au présent à la troisième personne du singulier) / est [ɛst] contraire de « ouest », direction géographique.</w:t>
      </w:r>
    </w:p>
    <w:p w:rsidR="002F1548" w:rsidRPr="00750499" w:rsidRDefault="002F1548" w:rsidP="002F1548">
      <w:pPr>
        <w:pStyle w:val="Paragraphedeliste"/>
        <w:numPr>
          <w:ilvl w:val="0"/>
          <w:numId w:val="3"/>
        </w:numPr>
        <w:jc w:val="both"/>
        <w:rPr>
          <w:rFonts w:asciiTheme="majorBidi" w:hAnsiTheme="majorBidi" w:cstheme="majorBidi"/>
          <w:i/>
          <w:iCs/>
          <w:sz w:val="32"/>
          <w:szCs w:val="32"/>
        </w:rPr>
      </w:pPr>
      <w:r>
        <w:rPr>
          <w:rFonts w:asciiTheme="majorBidi" w:hAnsiTheme="majorBidi" w:cstheme="majorBidi"/>
          <w:sz w:val="32"/>
          <w:szCs w:val="32"/>
        </w:rPr>
        <w:t>1Sens</w:t>
      </w:r>
      <w:r w:rsidRPr="00D540C8">
        <w:rPr>
          <w:rFonts w:asciiTheme="majorBidi" w:hAnsiTheme="majorBidi" w:cstheme="majorBidi"/>
          <w:sz w:val="32"/>
          <w:szCs w:val="32"/>
        </w:rPr>
        <w:sym w:font="Wingdings" w:char="F0E0"/>
      </w:r>
      <w:r>
        <w:rPr>
          <w:rFonts w:asciiTheme="majorBidi" w:hAnsiTheme="majorBidi" w:cstheme="majorBidi"/>
          <w:sz w:val="32"/>
          <w:szCs w:val="32"/>
        </w:rPr>
        <w:t xml:space="preserve"> 2 Formes (ou plusieurs), ces formes linguistiques dont le sens est commun ou identique sont dits </w:t>
      </w:r>
      <w:r w:rsidRPr="00D540C8">
        <w:rPr>
          <w:rFonts w:asciiTheme="majorBidi" w:hAnsiTheme="majorBidi" w:cstheme="majorBidi"/>
          <w:b/>
          <w:bCs/>
          <w:sz w:val="32"/>
          <w:szCs w:val="32"/>
        </w:rPr>
        <w:t>synonymes</w:t>
      </w:r>
      <w:r>
        <w:rPr>
          <w:rFonts w:asciiTheme="majorBidi" w:hAnsiTheme="majorBidi" w:cstheme="majorBidi"/>
          <w:b/>
          <w:bCs/>
          <w:sz w:val="32"/>
          <w:szCs w:val="32"/>
        </w:rPr>
        <w:t xml:space="preserve">. </w:t>
      </w:r>
      <w:r>
        <w:rPr>
          <w:rFonts w:asciiTheme="majorBidi" w:hAnsiTheme="majorBidi" w:cstheme="majorBidi"/>
          <w:sz w:val="32"/>
          <w:szCs w:val="32"/>
        </w:rPr>
        <w:t xml:space="preserve">Les linguistes sont unanimes sur le fait qu’une véritable synonymie est difficile à prouver. Voici un exemple de synonymes très répandu : </w:t>
      </w:r>
      <w:r w:rsidRPr="00F22E3F">
        <w:rPr>
          <w:rFonts w:asciiTheme="majorBidi" w:hAnsiTheme="majorBidi" w:cstheme="majorBidi"/>
          <w:i/>
          <w:iCs/>
          <w:sz w:val="32"/>
          <w:szCs w:val="32"/>
        </w:rPr>
        <w:t>mourir=décéder</w:t>
      </w:r>
      <w:r>
        <w:rPr>
          <w:rFonts w:asciiTheme="majorBidi" w:hAnsiTheme="majorBidi" w:cstheme="majorBidi"/>
          <w:i/>
          <w:iCs/>
          <w:sz w:val="32"/>
          <w:szCs w:val="32"/>
        </w:rPr>
        <w:t xml:space="preserve">, </w:t>
      </w:r>
      <w:r>
        <w:rPr>
          <w:rFonts w:asciiTheme="majorBidi" w:hAnsiTheme="majorBidi" w:cstheme="majorBidi"/>
          <w:sz w:val="32"/>
          <w:szCs w:val="32"/>
        </w:rPr>
        <w:t xml:space="preserve">pourtant certains considèrent que </w:t>
      </w:r>
      <w:r w:rsidRPr="00936BC7">
        <w:rPr>
          <w:rFonts w:asciiTheme="majorBidi" w:hAnsiTheme="majorBidi" w:cstheme="majorBidi"/>
          <w:i/>
          <w:iCs/>
          <w:sz w:val="32"/>
          <w:szCs w:val="32"/>
        </w:rPr>
        <w:t>mourir</w:t>
      </w:r>
      <w:r>
        <w:rPr>
          <w:rFonts w:asciiTheme="majorBidi" w:hAnsiTheme="majorBidi" w:cstheme="majorBidi"/>
          <w:sz w:val="32"/>
          <w:szCs w:val="32"/>
        </w:rPr>
        <w:t xml:space="preserve"> relève du vocabulaire général alors que </w:t>
      </w:r>
      <w:r w:rsidRPr="00936BC7">
        <w:rPr>
          <w:rFonts w:asciiTheme="majorBidi" w:hAnsiTheme="majorBidi" w:cstheme="majorBidi"/>
          <w:i/>
          <w:iCs/>
          <w:sz w:val="32"/>
          <w:szCs w:val="32"/>
        </w:rPr>
        <w:t>décéder</w:t>
      </w:r>
      <w:r>
        <w:rPr>
          <w:rFonts w:asciiTheme="majorBidi" w:hAnsiTheme="majorBidi" w:cstheme="majorBidi"/>
          <w:sz w:val="32"/>
          <w:szCs w:val="32"/>
        </w:rPr>
        <w:t xml:space="preserve"> renvoie à un usage administratif. Certaines langues proposent des listes de synonymes beaucoup plus importantes que d’autres, ainsi « lion » (l’animal) en arabe est représenté par la suite suivante de lexèmes : [sba3] – [asad] – [wihr] – [lay</w:t>
      </w:r>
      <w:r w:rsidRPr="00DF08AF">
        <w:rPr>
          <w:sz w:val="32"/>
          <w:szCs w:val="32"/>
        </w:rPr>
        <w:t>θ</w:t>
      </w:r>
      <w:r>
        <w:rPr>
          <w:sz w:val="32"/>
          <w:szCs w:val="32"/>
        </w:rPr>
        <w:t>] (sbaâ, assad, wihr, layth).</w:t>
      </w:r>
    </w:p>
    <w:p w:rsidR="002F1548" w:rsidRDefault="002F1548" w:rsidP="002F1548">
      <w:pPr>
        <w:pStyle w:val="Paragraphedeliste"/>
        <w:jc w:val="both"/>
        <w:rPr>
          <w:sz w:val="32"/>
          <w:szCs w:val="32"/>
        </w:rPr>
      </w:pPr>
      <w:r>
        <w:rPr>
          <w:sz w:val="32"/>
          <w:szCs w:val="32"/>
        </w:rPr>
        <w:lastRenderedPageBreak/>
        <w:t xml:space="preserve">Il existe des synonymes construits dans des formes verbales souvent reconnues socialement au point où parfois elles sont lexicalisées, ainsi pour </w:t>
      </w:r>
      <w:r w:rsidRPr="005F6522">
        <w:rPr>
          <w:i/>
          <w:iCs/>
          <w:sz w:val="32"/>
          <w:szCs w:val="32"/>
        </w:rPr>
        <w:t xml:space="preserve">mourir </w:t>
      </w:r>
      <w:r w:rsidRPr="005F6522">
        <w:rPr>
          <w:sz w:val="32"/>
          <w:szCs w:val="32"/>
        </w:rPr>
        <w:t>on</w:t>
      </w:r>
      <w:r>
        <w:rPr>
          <w:sz w:val="32"/>
          <w:szCs w:val="32"/>
        </w:rPr>
        <w:t xml:space="preserve"> peut avoir </w:t>
      </w:r>
      <w:r w:rsidRPr="005F6522">
        <w:rPr>
          <w:i/>
          <w:iCs/>
          <w:sz w:val="32"/>
          <w:szCs w:val="32"/>
        </w:rPr>
        <w:t>rendre l’âme</w:t>
      </w:r>
      <w:r>
        <w:rPr>
          <w:i/>
          <w:iCs/>
          <w:sz w:val="32"/>
          <w:szCs w:val="32"/>
        </w:rPr>
        <w:t>, rendre le dernier souffle, reposer en paix, voyager dans l’au-delà, etc.</w:t>
      </w:r>
      <w:r>
        <w:rPr>
          <w:sz w:val="32"/>
          <w:szCs w:val="32"/>
        </w:rPr>
        <w:t xml:space="preserve"> Ces expressions partagent le même signifié que </w:t>
      </w:r>
      <w:r w:rsidRPr="005F6522">
        <w:rPr>
          <w:i/>
          <w:iCs/>
          <w:sz w:val="32"/>
          <w:szCs w:val="32"/>
        </w:rPr>
        <w:t>mourir</w:t>
      </w:r>
      <w:r>
        <w:rPr>
          <w:sz w:val="32"/>
          <w:szCs w:val="32"/>
        </w:rPr>
        <w:t>.</w:t>
      </w:r>
    </w:p>
    <w:p w:rsidR="002F1548" w:rsidRPr="008C563F" w:rsidRDefault="002F1548" w:rsidP="002F1548">
      <w:pPr>
        <w:pStyle w:val="Paragraphedeliste"/>
        <w:numPr>
          <w:ilvl w:val="0"/>
          <w:numId w:val="1"/>
        </w:numPr>
        <w:jc w:val="both"/>
        <w:rPr>
          <w:rFonts w:asciiTheme="majorBidi" w:hAnsiTheme="majorBidi" w:cstheme="majorBidi"/>
          <w:b/>
          <w:bCs/>
          <w:sz w:val="32"/>
          <w:szCs w:val="32"/>
        </w:rPr>
      </w:pPr>
      <w:r w:rsidRPr="008C563F">
        <w:rPr>
          <w:b/>
          <w:bCs/>
          <w:sz w:val="32"/>
          <w:szCs w:val="32"/>
        </w:rPr>
        <w:t>Ambiguïté et sens ambigü</w:t>
      </w:r>
    </w:p>
    <w:p w:rsidR="002F1548" w:rsidRPr="007F6B9B" w:rsidRDefault="002F1548" w:rsidP="002F1548">
      <w:pPr>
        <w:jc w:val="both"/>
        <w:rPr>
          <w:rFonts w:asciiTheme="majorBidi" w:hAnsiTheme="majorBidi" w:cstheme="majorBidi"/>
          <w:sz w:val="32"/>
          <w:szCs w:val="32"/>
        </w:rPr>
      </w:pPr>
      <w:r w:rsidRPr="007F6B9B">
        <w:rPr>
          <w:rFonts w:asciiTheme="majorBidi" w:hAnsiTheme="majorBidi" w:cstheme="majorBidi"/>
          <w:sz w:val="32"/>
          <w:szCs w:val="32"/>
        </w:rPr>
        <w:t>Un terme est ambigu quand il renvoie à deux ou plusieurs sens à la fois</w:t>
      </w:r>
      <w:r>
        <w:rPr>
          <w:rStyle w:val="Appelnotedebasdep"/>
          <w:rFonts w:asciiTheme="majorBidi" w:hAnsiTheme="majorBidi" w:cstheme="majorBidi"/>
          <w:sz w:val="32"/>
          <w:szCs w:val="32"/>
        </w:rPr>
        <w:footnoteReference w:id="2"/>
      </w:r>
      <w:r w:rsidRPr="007F6B9B">
        <w:rPr>
          <w:rFonts w:asciiTheme="majorBidi" w:hAnsiTheme="majorBidi" w:cstheme="majorBidi"/>
          <w:sz w:val="32"/>
          <w:szCs w:val="32"/>
        </w:rPr>
        <w:t xml:space="preserve">. L’ambiguïté </w:t>
      </w:r>
      <w:r>
        <w:rPr>
          <w:rFonts w:asciiTheme="majorBidi" w:hAnsiTheme="majorBidi" w:cstheme="majorBidi"/>
          <w:sz w:val="32"/>
          <w:szCs w:val="32"/>
        </w:rPr>
        <w:t xml:space="preserve">ne se limite pas au mot mais </w:t>
      </w:r>
      <w:r w:rsidRPr="007F6B9B">
        <w:rPr>
          <w:rFonts w:asciiTheme="majorBidi" w:hAnsiTheme="majorBidi" w:cstheme="majorBidi"/>
          <w:sz w:val="32"/>
          <w:szCs w:val="32"/>
        </w:rPr>
        <w:t>peut s’installer au niveau d’une expression ou d’une phrase</w:t>
      </w:r>
      <w:r>
        <w:rPr>
          <w:rStyle w:val="Appelnotedebasdep"/>
          <w:rFonts w:asciiTheme="majorBidi" w:hAnsiTheme="majorBidi" w:cstheme="majorBidi"/>
          <w:sz w:val="32"/>
          <w:szCs w:val="32"/>
        </w:rPr>
        <w:footnoteReference w:id="3"/>
      </w:r>
      <w:r w:rsidRPr="007F6B9B">
        <w:rPr>
          <w:rFonts w:asciiTheme="majorBidi" w:hAnsiTheme="majorBidi" w:cstheme="majorBidi"/>
          <w:sz w:val="32"/>
          <w:szCs w:val="32"/>
        </w:rPr>
        <w:t>.</w:t>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t xml:space="preserve">Les homonymes sont la cause principale d’un sens ambigu. Le mot </w:t>
      </w:r>
      <w:r w:rsidRPr="00B34F77">
        <w:rPr>
          <w:rFonts w:asciiTheme="majorBidi" w:hAnsiTheme="majorBidi" w:cstheme="majorBidi"/>
          <w:i/>
          <w:iCs/>
          <w:sz w:val="32"/>
          <w:szCs w:val="32"/>
        </w:rPr>
        <w:t>moule</w:t>
      </w:r>
      <w:r>
        <w:rPr>
          <w:rFonts w:asciiTheme="majorBidi" w:hAnsiTheme="majorBidi" w:cstheme="majorBidi"/>
          <w:sz w:val="32"/>
          <w:szCs w:val="32"/>
        </w:rPr>
        <w:t xml:space="preserve"> renvoie, comme on l’a vu à deux interprétations ; mais accompagné d’un déterminant, il acquiert un sens univoque (</w:t>
      </w:r>
      <w:r w:rsidRPr="00CA0D44">
        <w:rPr>
          <w:rFonts w:asciiTheme="majorBidi" w:hAnsiTheme="majorBidi" w:cstheme="majorBidi"/>
          <w:b/>
          <w:bCs/>
          <w:i/>
          <w:iCs/>
          <w:sz w:val="32"/>
          <w:szCs w:val="32"/>
        </w:rPr>
        <w:t>la</w:t>
      </w:r>
      <w:r>
        <w:rPr>
          <w:rFonts w:asciiTheme="majorBidi" w:hAnsiTheme="majorBidi" w:cstheme="majorBidi"/>
          <w:sz w:val="32"/>
          <w:szCs w:val="32"/>
        </w:rPr>
        <w:t xml:space="preserve"> </w:t>
      </w:r>
      <w:r w:rsidRPr="00CA0D44">
        <w:rPr>
          <w:rFonts w:asciiTheme="majorBidi" w:hAnsiTheme="majorBidi" w:cstheme="majorBidi"/>
          <w:i/>
          <w:iCs/>
          <w:sz w:val="32"/>
          <w:szCs w:val="32"/>
        </w:rPr>
        <w:t>moule</w:t>
      </w:r>
      <w:r w:rsidRPr="00CA0D44">
        <w:rPr>
          <w:rFonts w:asciiTheme="majorBidi" w:hAnsiTheme="majorBidi" w:cstheme="majorBidi"/>
          <w:sz w:val="32"/>
          <w:szCs w:val="32"/>
        </w:rPr>
        <w:sym w:font="Wingdings" w:char="F0E0"/>
      </w:r>
      <w:r w:rsidRPr="00CA0D44">
        <w:rPr>
          <w:rFonts w:asciiTheme="majorBidi" w:hAnsiTheme="majorBidi" w:cstheme="majorBidi"/>
          <w:sz w:val="32"/>
          <w:szCs w:val="32"/>
        </w:rPr>
        <w:t>le mollusque</w:t>
      </w:r>
      <w:r>
        <w:rPr>
          <w:rFonts w:asciiTheme="majorBidi" w:hAnsiTheme="majorBidi" w:cstheme="majorBidi"/>
          <w:sz w:val="32"/>
          <w:szCs w:val="32"/>
        </w:rPr>
        <w:t xml:space="preserve"> ; </w:t>
      </w:r>
      <w:r w:rsidRPr="00CA0D44">
        <w:rPr>
          <w:rFonts w:asciiTheme="majorBidi" w:hAnsiTheme="majorBidi" w:cstheme="majorBidi"/>
          <w:b/>
          <w:bCs/>
          <w:i/>
          <w:iCs/>
          <w:sz w:val="32"/>
          <w:szCs w:val="32"/>
        </w:rPr>
        <w:t xml:space="preserve">le </w:t>
      </w:r>
      <w:r w:rsidRPr="00CA0D44">
        <w:rPr>
          <w:rFonts w:asciiTheme="majorBidi" w:hAnsiTheme="majorBidi" w:cstheme="majorBidi"/>
          <w:i/>
          <w:iCs/>
          <w:sz w:val="32"/>
          <w:szCs w:val="32"/>
        </w:rPr>
        <w:t>moule</w:t>
      </w:r>
      <w:r w:rsidRPr="00CA0D44">
        <w:rPr>
          <w:rFonts w:asciiTheme="majorBidi" w:hAnsiTheme="majorBidi" w:cstheme="majorBidi"/>
          <w:sz w:val="32"/>
          <w:szCs w:val="32"/>
        </w:rPr>
        <w:sym w:font="Wingdings" w:char="F0E0"/>
      </w:r>
      <w:r>
        <w:rPr>
          <w:rFonts w:asciiTheme="majorBidi" w:hAnsiTheme="majorBidi" w:cstheme="majorBidi"/>
          <w:sz w:val="32"/>
          <w:szCs w:val="32"/>
        </w:rPr>
        <w:t>l’ustensile de cuisine ou pièce à fonction industrielle). D’un sens virtuel, il passe à un sens actualisé grâce à sa mise en discours.</w:t>
      </w:r>
      <w:r>
        <w:rPr>
          <w:rStyle w:val="Appelnotedebasdep"/>
          <w:rFonts w:asciiTheme="majorBidi" w:hAnsiTheme="majorBidi" w:cstheme="majorBidi"/>
          <w:sz w:val="32"/>
          <w:szCs w:val="32"/>
        </w:rPr>
        <w:footnoteReference w:id="4"/>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t>L’ambiguïté peut persister même avec l’emploi du déterminant, l’avocat / un avocat, même signifiant et même catégorie. Pour lever cette ambiguïté, il faut l’employer dans une phrase ou un énoncé.</w:t>
      </w:r>
    </w:p>
    <w:p w:rsidR="002F1548" w:rsidRDefault="002F1548" w:rsidP="002F1548">
      <w:pPr>
        <w:jc w:val="both"/>
        <w:rPr>
          <w:rFonts w:asciiTheme="majorBidi" w:hAnsiTheme="majorBidi" w:cstheme="majorBidi"/>
          <w:i/>
          <w:iCs/>
          <w:sz w:val="32"/>
          <w:szCs w:val="32"/>
        </w:rPr>
      </w:pPr>
      <w:r>
        <w:rPr>
          <w:rFonts w:asciiTheme="majorBidi" w:hAnsiTheme="majorBidi" w:cstheme="majorBidi"/>
          <w:sz w:val="32"/>
          <w:szCs w:val="32"/>
        </w:rPr>
        <w:t xml:space="preserve">Exemple : - </w:t>
      </w:r>
      <w:r w:rsidRPr="000F3F38">
        <w:rPr>
          <w:rFonts w:asciiTheme="majorBidi" w:hAnsiTheme="majorBidi" w:cstheme="majorBidi"/>
          <w:i/>
          <w:iCs/>
          <w:sz w:val="32"/>
          <w:szCs w:val="32"/>
        </w:rPr>
        <w:t>j’ai consulté un avoca</w:t>
      </w:r>
      <w:r>
        <w:rPr>
          <w:rFonts w:asciiTheme="majorBidi" w:hAnsiTheme="majorBidi" w:cstheme="majorBidi"/>
          <w:i/>
          <w:iCs/>
          <w:sz w:val="32"/>
          <w:szCs w:val="32"/>
        </w:rPr>
        <w:t xml:space="preserve">t pour mieux comprendre cette </w:t>
      </w:r>
      <w:r w:rsidRPr="000F3F38">
        <w:rPr>
          <w:rFonts w:asciiTheme="majorBidi" w:hAnsiTheme="majorBidi" w:cstheme="majorBidi"/>
          <w:i/>
          <w:iCs/>
          <w:sz w:val="32"/>
          <w:szCs w:val="32"/>
        </w:rPr>
        <w:t>affaire.</w:t>
      </w:r>
      <w:r>
        <w:rPr>
          <w:rFonts w:asciiTheme="majorBidi" w:hAnsiTheme="majorBidi" w:cstheme="majorBidi"/>
          <w:i/>
          <w:iCs/>
          <w:sz w:val="32"/>
          <w:szCs w:val="32"/>
        </w:rPr>
        <w:t xml:space="preserve"> (avocat : le métier)</w:t>
      </w:r>
    </w:p>
    <w:p w:rsidR="002F1548" w:rsidRDefault="002F1548" w:rsidP="002F1548">
      <w:pPr>
        <w:pStyle w:val="Paragraphedeliste"/>
        <w:numPr>
          <w:ilvl w:val="0"/>
          <w:numId w:val="2"/>
        </w:numPr>
        <w:jc w:val="both"/>
        <w:rPr>
          <w:rFonts w:asciiTheme="majorBidi" w:hAnsiTheme="majorBidi" w:cstheme="majorBidi"/>
          <w:i/>
          <w:iCs/>
          <w:sz w:val="32"/>
          <w:szCs w:val="32"/>
        </w:rPr>
      </w:pPr>
      <w:r>
        <w:rPr>
          <w:rFonts w:asciiTheme="majorBidi" w:hAnsiTheme="majorBidi" w:cstheme="majorBidi"/>
          <w:i/>
          <w:iCs/>
          <w:sz w:val="32"/>
          <w:szCs w:val="32"/>
        </w:rPr>
        <w:t>L’avocat que j’ai mangé était bien mûr. (avocat : le fruit)</w:t>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t>Cependant, certaines constructions phrastiques permettent à cette ambiguïté de fonctionner :</w:t>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t xml:space="preserve">Exemple : - </w:t>
      </w:r>
      <w:r w:rsidRPr="00170249">
        <w:rPr>
          <w:rFonts w:asciiTheme="majorBidi" w:hAnsiTheme="majorBidi" w:cstheme="majorBidi"/>
          <w:i/>
          <w:iCs/>
          <w:sz w:val="32"/>
          <w:szCs w:val="32"/>
        </w:rPr>
        <w:t>c’est un bon avocat</w:t>
      </w:r>
      <w:r>
        <w:rPr>
          <w:rFonts w:asciiTheme="majorBidi" w:hAnsiTheme="majorBidi" w:cstheme="majorBidi"/>
          <w:i/>
          <w:iCs/>
          <w:sz w:val="32"/>
          <w:szCs w:val="32"/>
        </w:rPr>
        <w:t xml:space="preserve"> / les avocats sont à bon marché (</w:t>
      </w:r>
      <w:r>
        <w:rPr>
          <w:rFonts w:asciiTheme="majorBidi" w:hAnsiTheme="majorBidi" w:cstheme="majorBidi"/>
          <w:sz w:val="32"/>
          <w:szCs w:val="32"/>
        </w:rPr>
        <w:t>il est difficile de savoir s’il s’agit du fruit ou du professionnel).</w:t>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lastRenderedPageBreak/>
        <w:t>L’ambiguïté donc en phrase est possible quand le mot ambigu convoque un environnement adaptable aux différents sens auquel il renvoie.</w:t>
      </w:r>
    </w:p>
    <w:p w:rsidR="002F1548" w:rsidRDefault="002F1548" w:rsidP="002F1548">
      <w:pPr>
        <w:jc w:val="both"/>
        <w:rPr>
          <w:rFonts w:asciiTheme="majorBidi" w:hAnsiTheme="majorBidi" w:cstheme="majorBidi"/>
          <w:i/>
          <w:iCs/>
          <w:sz w:val="32"/>
          <w:szCs w:val="32"/>
        </w:rPr>
      </w:pPr>
      <w:r>
        <w:rPr>
          <w:rFonts w:asciiTheme="majorBidi" w:hAnsiTheme="majorBidi" w:cstheme="majorBidi"/>
          <w:sz w:val="32"/>
          <w:szCs w:val="32"/>
        </w:rPr>
        <w:t xml:space="preserve">Exemple : </w:t>
      </w:r>
      <w:r>
        <w:rPr>
          <w:rFonts w:asciiTheme="majorBidi" w:hAnsiTheme="majorBidi" w:cstheme="majorBidi"/>
          <w:i/>
          <w:iCs/>
          <w:sz w:val="32"/>
          <w:szCs w:val="32"/>
        </w:rPr>
        <w:t>Apprenez à vos enfants à faire des fugues</w:t>
      </w:r>
      <w:r>
        <w:rPr>
          <w:rStyle w:val="Appelnotedebasdep"/>
          <w:rFonts w:asciiTheme="majorBidi" w:hAnsiTheme="majorBidi" w:cstheme="majorBidi"/>
          <w:i/>
          <w:iCs/>
          <w:sz w:val="32"/>
          <w:szCs w:val="32"/>
        </w:rPr>
        <w:footnoteReference w:id="5"/>
      </w:r>
      <w:r>
        <w:rPr>
          <w:rFonts w:asciiTheme="majorBidi" w:hAnsiTheme="majorBidi" w:cstheme="majorBidi"/>
          <w:i/>
          <w:iCs/>
          <w:sz w:val="32"/>
          <w:szCs w:val="32"/>
        </w:rPr>
        <w:t xml:space="preserve">. </w:t>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t xml:space="preserve">Dans cette phrase, le mot ambiguïsant est « fugue » qui renvoie à </w:t>
      </w:r>
      <w:r w:rsidRPr="00E23563">
        <w:rPr>
          <w:rFonts w:asciiTheme="majorBidi" w:hAnsiTheme="majorBidi" w:cstheme="majorBidi"/>
          <w:i/>
          <w:iCs/>
          <w:sz w:val="32"/>
          <w:szCs w:val="32"/>
        </w:rPr>
        <w:t>petite</w:t>
      </w:r>
      <w:r>
        <w:rPr>
          <w:rFonts w:asciiTheme="majorBidi" w:hAnsiTheme="majorBidi" w:cstheme="majorBidi"/>
          <w:sz w:val="32"/>
          <w:szCs w:val="32"/>
        </w:rPr>
        <w:t xml:space="preserve"> </w:t>
      </w:r>
      <w:r w:rsidRPr="00E23563">
        <w:rPr>
          <w:rFonts w:asciiTheme="majorBidi" w:hAnsiTheme="majorBidi" w:cstheme="majorBidi"/>
          <w:i/>
          <w:iCs/>
          <w:sz w:val="32"/>
          <w:szCs w:val="32"/>
        </w:rPr>
        <w:t>partition musicale</w:t>
      </w:r>
      <w:r>
        <w:rPr>
          <w:rFonts w:asciiTheme="majorBidi" w:hAnsiTheme="majorBidi" w:cstheme="majorBidi"/>
          <w:sz w:val="32"/>
          <w:szCs w:val="32"/>
        </w:rPr>
        <w:t xml:space="preserve"> /ou/ </w:t>
      </w:r>
      <w:r w:rsidRPr="00E23563">
        <w:rPr>
          <w:rFonts w:asciiTheme="majorBidi" w:hAnsiTheme="majorBidi" w:cstheme="majorBidi"/>
          <w:i/>
          <w:iCs/>
          <w:sz w:val="32"/>
          <w:szCs w:val="32"/>
        </w:rPr>
        <w:t>fuite du foyer parental</w:t>
      </w:r>
      <w:r>
        <w:rPr>
          <w:rFonts w:asciiTheme="majorBidi" w:hAnsiTheme="majorBidi" w:cstheme="majorBidi"/>
          <w:sz w:val="32"/>
          <w:szCs w:val="32"/>
        </w:rPr>
        <w:t>.</w:t>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t xml:space="preserve">Cet exemple nous montre qu’à la lecture de la phrase on est choqué, dérouté même par l’aspect immoral du sens qu’elle contient, car le sens qui nous vient le premier à l’esprit est celui qui est le plus utilisé (ici, </w:t>
      </w:r>
      <w:r w:rsidRPr="008624EE">
        <w:rPr>
          <w:rFonts w:asciiTheme="majorBidi" w:hAnsiTheme="majorBidi" w:cstheme="majorBidi"/>
          <w:i/>
          <w:iCs/>
          <w:sz w:val="32"/>
          <w:szCs w:val="32"/>
        </w:rPr>
        <w:t>fugue : fuir de chez ses parents</w:t>
      </w:r>
      <w:r>
        <w:rPr>
          <w:rFonts w:asciiTheme="majorBidi" w:hAnsiTheme="majorBidi" w:cstheme="majorBidi"/>
          <w:sz w:val="32"/>
          <w:szCs w:val="32"/>
        </w:rPr>
        <w:t>), il est le plus courant ; le second apparait après réflexion ou après une recherche.</w:t>
      </w:r>
      <w:r>
        <w:rPr>
          <w:rStyle w:val="Appelnotedebasdep"/>
          <w:rFonts w:asciiTheme="majorBidi" w:hAnsiTheme="majorBidi" w:cstheme="majorBidi"/>
          <w:sz w:val="32"/>
          <w:szCs w:val="32"/>
        </w:rPr>
        <w:footnoteReference w:id="6"/>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t xml:space="preserve">Les humoristes utilisent ce genre d’homonymes pour créer des décalages et provoquer le rire. On s’en sert également dans des tests de connaissance (érudition) de la langue. </w:t>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t>Ces ambiguïtés sont dites volontaires, le locuteur en est conscient, il les choisit à des fins particulières comme on vient de le voir. Elles ne sont pas problématiques étant intentionnelles. En revanche, les ambiguïtés qui sont involontaires, qui se glissent à l’insu du locuteur sont les plus insidieuses et peuvent provoquer des contre-sens, de fausses interprétations parasitant ainsi, la communication.</w:t>
      </w:r>
      <w:r>
        <w:rPr>
          <w:rStyle w:val="Appelnotedebasdep"/>
          <w:rFonts w:asciiTheme="majorBidi" w:hAnsiTheme="majorBidi" w:cstheme="majorBidi"/>
          <w:sz w:val="32"/>
          <w:szCs w:val="32"/>
        </w:rPr>
        <w:footnoteReference w:id="7"/>
      </w:r>
      <w:r>
        <w:rPr>
          <w:rFonts w:asciiTheme="majorBidi" w:hAnsiTheme="majorBidi" w:cstheme="majorBidi"/>
          <w:sz w:val="32"/>
          <w:szCs w:val="32"/>
        </w:rPr>
        <w:t xml:space="preserve"> (</w:t>
      </w:r>
      <w:r w:rsidRPr="00C56BDD">
        <w:rPr>
          <w:rFonts w:asciiTheme="majorBidi" w:hAnsiTheme="majorBidi" w:cstheme="majorBidi"/>
          <w:b/>
          <w:bCs/>
          <w:i/>
          <w:iCs/>
          <w:sz w:val="32"/>
          <w:szCs w:val="32"/>
        </w:rPr>
        <w:t>je dis</w:t>
      </w:r>
      <w:r w:rsidRPr="008E7678">
        <w:rPr>
          <w:rFonts w:asciiTheme="majorBidi" w:hAnsiTheme="majorBidi" w:cstheme="majorBidi"/>
          <w:i/>
          <w:iCs/>
          <w:sz w:val="32"/>
          <w:szCs w:val="32"/>
        </w:rPr>
        <w:t> :  « je ne viens pas, c’est clair ? »</w:t>
      </w:r>
      <w:r>
        <w:rPr>
          <w:rFonts w:asciiTheme="majorBidi" w:hAnsiTheme="majorBidi" w:cstheme="majorBidi"/>
          <w:i/>
          <w:iCs/>
          <w:sz w:val="32"/>
          <w:szCs w:val="32"/>
        </w:rPr>
        <w:t xml:space="preserve"> </w:t>
      </w:r>
      <w:r w:rsidRPr="008E7678">
        <w:rPr>
          <w:rFonts w:asciiTheme="majorBidi" w:hAnsiTheme="majorBidi" w:cstheme="majorBidi"/>
          <w:sz w:val="32"/>
          <w:szCs w:val="32"/>
        </w:rPr>
        <w:t>peut oralement se confondre avec</w:t>
      </w:r>
      <w:r>
        <w:rPr>
          <w:rFonts w:asciiTheme="majorBidi" w:hAnsiTheme="majorBidi" w:cstheme="majorBidi"/>
          <w:i/>
          <w:iCs/>
          <w:sz w:val="32"/>
          <w:szCs w:val="32"/>
        </w:rPr>
        <w:t xml:space="preserve"> « </w:t>
      </w:r>
      <w:r w:rsidRPr="00C56BDD">
        <w:rPr>
          <w:rFonts w:asciiTheme="majorBidi" w:hAnsiTheme="majorBidi" w:cstheme="majorBidi"/>
          <w:b/>
          <w:bCs/>
          <w:i/>
          <w:iCs/>
          <w:sz w:val="32"/>
          <w:szCs w:val="32"/>
        </w:rPr>
        <w:t>jeudi</w:t>
      </w:r>
      <w:r>
        <w:rPr>
          <w:rFonts w:asciiTheme="majorBidi" w:hAnsiTheme="majorBidi" w:cstheme="majorBidi"/>
          <w:i/>
          <w:iCs/>
          <w:sz w:val="32"/>
          <w:szCs w:val="32"/>
        </w:rPr>
        <w:t>, je ne viens pas, c’est clair ? »</w:t>
      </w:r>
      <w:r>
        <w:rPr>
          <w:rFonts w:asciiTheme="majorBidi" w:hAnsiTheme="majorBidi" w:cstheme="majorBidi"/>
          <w:sz w:val="32"/>
          <w:szCs w:val="32"/>
        </w:rPr>
        <w:t xml:space="preserve"> sachant qu’à l’oral, il y a peu de respect pour la concordance des temps.</w:t>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t xml:space="preserve">De même, le système verbal français est connu pour être assez ambigu au niveau des désinences qui présentent des cas d’homonymie dans leurs répartitions respectives. Les verbes présentent des formes homonymes donc ambigües, au niveau des désinences qui sont </w:t>
      </w:r>
      <w:r>
        <w:rPr>
          <w:rFonts w:asciiTheme="majorBidi" w:hAnsiTheme="majorBidi" w:cstheme="majorBidi"/>
          <w:sz w:val="32"/>
          <w:szCs w:val="32"/>
        </w:rPr>
        <w:lastRenderedPageBreak/>
        <w:t xml:space="preserve">identiques pour certains temps, certaines personnes et même certains modes, ex : croit/croît, crut/crut (croire/croître) ; finis/finis (présent/passé simple de finir).... </w:t>
      </w:r>
    </w:p>
    <w:p w:rsidR="002F1548" w:rsidRDefault="002F1548" w:rsidP="002F1548">
      <w:pPr>
        <w:jc w:val="both"/>
        <w:rPr>
          <w:rFonts w:asciiTheme="majorBidi" w:hAnsiTheme="majorBidi" w:cstheme="majorBidi"/>
          <w:sz w:val="32"/>
          <w:szCs w:val="32"/>
        </w:rPr>
      </w:pPr>
      <w:r>
        <w:rPr>
          <w:rFonts w:asciiTheme="majorBidi" w:hAnsiTheme="majorBidi" w:cstheme="majorBidi"/>
          <w:sz w:val="32"/>
          <w:szCs w:val="32"/>
        </w:rPr>
        <w:t>Tâches : voir fichier devoirs</w:t>
      </w:r>
    </w:p>
    <w:p w:rsidR="007C6455" w:rsidRDefault="002F1548">
      <w:r>
        <w:t xml:space="preserve"> </w:t>
      </w:r>
    </w:p>
    <w:sectPr w:rsidR="007C6455" w:rsidSect="007C64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03B" w:rsidRDefault="0081103B" w:rsidP="002F1548">
      <w:pPr>
        <w:spacing w:after="0" w:line="240" w:lineRule="auto"/>
      </w:pPr>
      <w:r>
        <w:separator/>
      </w:r>
    </w:p>
  </w:endnote>
  <w:endnote w:type="continuationSeparator" w:id="1">
    <w:p w:rsidR="0081103B" w:rsidRDefault="0081103B" w:rsidP="002F1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03B" w:rsidRDefault="0081103B" w:rsidP="002F1548">
      <w:pPr>
        <w:spacing w:after="0" w:line="240" w:lineRule="auto"/>
      </w:pPr>
      <w:r>
        <w:separator/>
      </w:r>
    </w:p>
  </w:footnote>
  <w:footnote w:type="continuationSeparator" w:id="1">
    <w:p w:rsidR="0081103B" w:rsidRDefault="0081103B" w:rsidP="002F1548">
      <w:pPr>
        <w:spacing w:after="0" w:line="240" w:lineRule="auto"/>
      </w:pPr>
      <w:r>
        <w:continuationSeparator/>
      </w:r>
    </w:p>
  </w:footnote>
  <w:footnote w:id="2">
    <w:p w:rsidR="002F1548" w:rsidRDefault="002F1548" w:rsidP="002F1548">
      <w:pPr>
        <w:pStyle w:val="Notedebasdepage"/>
      </w:pPr>
      <w:r>
        <w:rPr>
          <w:rStyle w:val="Appelnotedebasdep"/>
        </w:rPr>
        <w:footnoteRef/>
      </w:r>
      <w:r>
        <w:t xml:space="preserve"> Il représente une ambiguïté virtuelle (ex : mousse), </w:t>
      </w:r>
    </w:p>
  </w:footnote>
  <w:footnote w:id="3">
    <w:p w:rsidR="002F1548" w:rsidRPr="008C31F1" w:rsidRDefault="002F1548" w:rsidP="002F1548">
      <w:pPr>
        <w:pStyle w:val="Notedebasdepage"/>
      </w:pPr>
      <w:r>
        <w:rPr>
          <w:rStyle w:val="Appelnotedebasdep"/>
        </w:rPr>
        <w:footnoteRef/>
      </w:r>
      <w:r>
        <w:t xml:space="preserve">  Voir C. Fuchs, 1996, </w:t>
      </w:r>
      <w:r>
        <w:rPr>
          <w:i/>
          <w:iCs/>
        </w:rPr>
        <w:t xml:space="preserve">Les ambiguïtés du français, </w:t>
      </w:r>
      <w:r>
        <w:t xml:space="preserve">Paris, Ophrys, L’essentiel, ou K. Mérine, 2010, </w:t>
      </w:r>
      <w:r>
        <w:rPr>
          <w:i/>
          <w:iCs/>
        </w:rPr>
        <w:t xml:space="preserve">L’Ambiguïté linguistique et la grammaire scolaire, </w:t>
      </w:r>
      <w:r>
        <w:t>Thèse de doctorat, université d’Oran.</w:t>
      </w:r>
    </w:p>
  </w:footnote>
  <w:footnote w:id="4">
    <w:p w:rsidR="002F1548" w:rsidRDefault="002F1548" w:rsidP="002F1548">
      <w:pPr>
        <w:pStyle w:val="Notedebasdepage"/>
      </w:pPr>
      <w:r>
        <w:rPr>
          <w:rStyle w:val="Appelnotedebasdep"/>
        </w:rPr>
        <w:footnoteRef/>
      </w:r>
      <w:r>
        <w:t xml:space="preserve"> Le déterminant permet au nom de fonctionner en discours.----------------------------</w:t>
      </w:r>
    </w:p>
  </w:footnote>
  <w:footnote w:id="5">
    <w:p w:rsidR="002F1548" w:rsidRDefault="002F1548" w:rsidP="002F1548">
      <w:pPr>
        <w:pStyle w:val="Notedebasdepage"/>
      </w:pPr>
      <w:r>
        <w:rPr>
          <w:rStyle w:val="Appelnotedebasdep"/>
        </w:rPr>
        <w:footnoteRef/>
      </w:r>
      <w:r>
        <w:t xml:space="preserve"> Mérine 2010</w:t>
      </w:r>
    </w:p>
  </w:footnote>
  <w:footnote w:id="6">
    <w:p w:rsidR="002F1548" w:rsidRDefault="002F1548" w:rsidP="002F1548">
      <w:pPr>
        <w:pStyle w:val="Notedebasdepage"/>
      </w:pPr>
      <w:r>
        <w:rPr>
          <w:rStyle w:val="Appelnotedebasdep"/>
        </w:rPr>
        <w:footnoteRef/>
      </w:r>
      <w:r>
        <w:t xml:space="preserve"> Cet aspect de la compéhension de l’ambiguïté intéresse spécialement les psycholinguistes et les linguistes cogntivistes tels que P. Thérouanne (2000, 2002)</w:t>
      </w:r>
    </w:p>
  </w:footnote>
  <w:footnote w:id="7">
    <w:p w:rsidR="002F1548" w:rsidRDefault="002F1548" w:rsidP="002F1548">
      <w:pPr>
        <w:pStyle w:val="Notedebasdepage"/>
      </w:pPr>
      <w:r>
        <w:rPr>
          <w:rStyle w:val="Appelnotedebasdep"/>
        </w:rPr>
        <w:footnoteRef/>
      </w:r>
      <w:r>
        <w:t xml:space="preserve"> L’humoriste français Raymond Devos le montre bien dans ses sketches tel que « A quand les vacances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5F1"/>
    <w:multiLevelType w:val="hybridMultilevel"/>
    <w:tmpl w:val="35DA3B86"/>
    <w:lvl w:ilvl="0" w:tplc="068EC8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2F02F1"/>
    <w:multiLevelType w:val="hybridMultilevel"/>
    <w:tmpl w:val="C382E0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50010E"/>
    <w:multiLevelType w:val="hybridMultilevel"/>
    <w:tmpl w:val="9C061A66"/>
    <w:lvl w:ilvl="0" w:tplc="573AC2C6">
      <w:start w:val="1"/>
      <w:numFmt w:val="decimal"/>
      <w:lvlText w:val="%1."/>
      <w:lvlJc w:val="left"/>
      <w:pPr>
        <w:ind w:left="1440" w:hanging="360"/>
      </w:pPr>
      <w:rPr>
        <w:rFonts w:asciiTheme="majorBidi" w:eastAsiaTheme="minorHAnsi" w:hAnsiTheme="majorBidi" w:cstheme="majorBidi" w:hint="default"/>
        <w:sz w:val="3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F1548"/>
    <w:rsid w:val="001A4AC1"/>
    <w:rsid w:val="002F1548"/>
    <w:rsid w:val="005D0C0D"/>
    <w:rsid w:val="00677C0F"/>
    <w:rsid w:val="00763DCF"/>
    <w:rsid w:val="007C6455"/>
    <w:rsid w:val="0081103B"/>
    <w:rsid w:val="008C226D"/>
    <w:rsid w:val="00B42C6B"/>
    <w:rsid w:val="00C353BB"/>
    <w:rsid w:val="00FB2A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1548"/>
    <w:pPr>
      <w:ind w:left="720"/>
      <w:contextualSpacing/>
    </w:pPr>
  </w:style>
  <w:style w:type="paragraph" w:styleId="Notedebasdepage">
    <w:name w:val="footnote text"/>
    <w:basedOn w:val="Normal"/>
    <w:link w:val="NotedebasdepageCar"/>
    <w:uiPriority w:val="99"/>
    <w:semiHidden/>
    <w:unhideWhenUsed/>
    <w:rsid w:val="002F15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1548"/>
    <w:rPr>
      <w:sz w:val="20"/>
      <w:szCs w:val="20"/>
    </w:rPr>
  </w:style>
  <w:style w:type="character" w:styleId="Appelnotedebasdep">
    <w:name w:val="footnote reference"/>
    <w:basedOn w:val="Policepardfaut"/>
    <w:uiPriority w:val="99"/>
    <w:semiHidden/>
    <w:unhideWhenUsed/>
    <w:rsid w:val="002F154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983</Words>
  <Characters>5410</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2020-04-26T11:26:00Z</dcterms:created>
  <dcterms:modified xsi:type="dcterms:W3CDTF">2020-04-26T11:55:00Z</dcterms:modified>
</cp:coreProperties>
</file>